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B4" w:rsidRPr="002601B4" w:rsidRDefault="002601B4" w:rsidP="002601B4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601B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внесении изменений в некоторые приказы Министерства здравоохранения Республики Казахстан</w:t>
      </w:r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Министра здравоохранения Республики Казахстан от 7 декабря 2021 года № Қ</w:t>
      </w:r>
      <w:proofErr w:type="gramStart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ДСМ-125. Зарегистрирован в Министерстве юстиции Республики Казахстан 9 декабря 2021 года № 25688</w:t>
      </w:r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ПРИКАЗЫВАЮ:</w:t>
      </w:r>
      <w:bookmarkStart w:id="0" w:name="_GoBack"/>
      <w:bookmarkEnd w:id="0"/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Утвердить перечень некоторых приказов Министерства здравоохранения Республики Казахстан, в которые вносятся изменения согласно </w:t>
      </w:r>
      <w:hyperlink r:id="rId6" w:anchor="z14" w:history="1">
        <w:r w:rsidRPr="00260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</w:t>
        </w:r>
      </w:hyperlink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приказу.</w:t>
      </w:r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Департаменту </w:t>
      </w:r>
      <w:proofErr w:type="gramStart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медицинской помощи Министерства здравоохранения Республики</w:t>
      </w:r>
      <w:proofErr w:type="gramEnd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Казахстан в установленном законодательством Республики Казахстан порядке обеспечить:</w:t>
      </w:r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государственную регистрацию настоящего приказа в Министерстве юстиции Республики Казахстан;</w:t>
      </w:r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размещение настоящего приказа на </w:t>
      </w:r>
      <w:proofErr w:type="spellStart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интернет-ресурсе</w:t>
      </w:r>
      <w:proofErr w:type="spellEnd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Республики Казахстан; </w:t>
      </w:r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в течение десяти рабочих дней со дня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 </w:t>
      </w:r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Контроль за исполнением настоящего приказа возложить </w:t>
      </w:r>
      <w:proofErr w:type="gramStart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курирующего</w:t>
      </w:r>
      <w:proofErr w:type="gramEnd"/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вице-министра здравоохранения Республики Казахстан.</w:t>
      </w:r>
    </w:p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0"/>
      </w:tblGrid>
      <w:tr w:rsidR="002601B4" w:rsidRPr="002601B4" w:rsidTr="002601B4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2601B4" w:rsidRPr="002601B4" w:rsidRDefault="002601B4" w:rsidP="002601B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1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     </w:t>
            </w:r>
            <w:bookmarkStart w:id="1" w:name="z12"/>
            <w:bookmarkEnd w:id="1"/>
            <w:r w:rsidRPr="002601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Министр здравоохранения</w:t>
            </w:r>
            <w:r w:rsidRPr="002601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Республики Казахстан А. Цой</w:t>
            </w:r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601B4" w:rsidRPr="002601B4" w:rsidRDefault="002601B4" w:rsidP="002601B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"СОГЛАСОВАН"</w:t>
      </w: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Министерство цифрового развития, инноваций</w:t>
      </w: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аэрокосмической промышленности</w:t>
      </w:r>
      <w:r w:rsidRPr="00260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Республики Казахстан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601B4" w:rsidRPr="002601B4" w:rsidTr="002601B4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601B4" w:rsidRPr="002601B4" w:rsidRDefault="002601B4" w:rsidP="002601B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2601B4" w:rsidRPr="002601B4" w:rsidRDefault="002601B4" w:rsidP="002601B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z14"/>
            <w:bookmarkEnd w:id="2"/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к приказу</w:t>
            </w:r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Министра здравоохранения</w:t>
            </w:r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Казахстан</w:t>
            </w:r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7 декабря 2021 года</w:t>
            </w:r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Қ</w:t>
            </w:r>
            <w:proofErr w:type="gramStart"/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60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ДСМ-125</w:t>
            </w:r>
          </w:p>
        </w:tc>
      </w:tr>
    </w:tbl>
    <w:p w:rsidR="002601B4" w:rsidRPr="002601B4" w:rsidRDefault="002601B4" w:rsidP="002601B4">
      <w:pPr>
        <w:spacing w:after="0" w:line="240" w:lineRule="atLeas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1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Перечень некоторых приказов Министерства здравоохранения Республики Казахстан,</w:t>
      </w:r>
      <w:r w:rsidRPr="002601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в которые вносятся изменения (далее – Перечень)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 xml:space="preserve">8. Внести в </w:t>
      </w:r>
      <w:hyperlink r:id="rId7" w:anchor="z2" w:history="1">
        <w:r>
          <w:rPr>
            <w:rStyle w:val="a4"/>
          </w:rPr>
          <w:t>приказ</w:t>
        </w:r>
      </w:hyperlink>
      <w:r>
        <w:t xml:space="preserve"> Министра здравоохранения Республики Казахстан от 25 ноября 2020 года № Қ</w:t>
      </w:r>
      <w:proofErr w:type="gramStart"/>
      <w:r>
        <w:t>Р</w:t>
      </w:r>
      <w:proofErr w:type="gramEnd"/>
      <w:r>
        <w:t xml:space="preserve"> ДСМ-204/2020 "Об утверждении правил добровольного анонимного и (или) конфиденциального медицинского обследования и консультирования по вопросам ВИЧ-инфекции в рамках гарантированного объема бесплатной медицинской помощи в государственных организациях здравоохранения, осуществляющих деятельность в сфере профилактики ВИЧ-инфекции" (зарегистрирован в Реестре государственной регистрации нормативных правовых актов под № 21682), следующие изменения: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 xml:space="preserve">      в </w:t>
      </w:r>
      <w:hyperlink r:id="rId8" w:anchor="z17" w:history="1">
        <w:r>
          <w:rPr>
            <w:rStyle w:val="a4"/>
          </w:rPr>
          <w:t>правилах</w:t>
        </w:r>
      </w:hyperlink>
      <w:r>
        <w:t xml:space="preserve"> добровольного анонимного и (или) конфиденциального медицинского обследования и консультирования по вопросам ВИЧ-инфекции в рамках гарантированного объема бесплатной медицинской помощи в государственных организациях здравоохранения, осуществляющих деятельность в сфере профилактики ВИЧ-инфекции, утвержденных указанным приказом: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bookmarkStart w:id="3" w:name="z187"/>
      <w:bookmarkEnd w:id="3"/>
      <w:r>
        <w:t xml:space="preserve">      </w:t>
      </w:r>
      <w:hyperlink r:id="rId9" w:anchor="z20" w:history="1">
        <w:r>
          <w:rPr>
            <w:rStyle w:val="a4"/>
          </w:rPr>
          <w:t>пункт 2</w:t>
        </w:r>
      </w:hyperlink>
      <w:r>
        <w:t xml:space="preserve"> изложить в новой редакции: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"2. В настоящих Правилах используются следующие понятия: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1) ВИЧ-инфекция – хроническое инфекционное заболевание, вызванное вирусом иммунодефицита человека, характеризующееся специфическим поражением иммунной системы и приводящее к медленному ее разрушению до формирования синдрома приобретенного иммунодефицита;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2) анонимное обследование – добровольное медицинское обследование лица без идентификации личности;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 xml:space="preserve">      3) государственная организация здравоохранения, осуществляющая деятельность в сфере профилактики ВИЧ-инфекции – организация, которая проводит обязательное, добровольное анонимное </w:t>
      </w:r>
      <w:r>
        <w:lastRenderedPageBreak/>
        <w:t>и (или) конфиденциальное медицинское обследование и консультирование по вопросам ВИЧ-инфекции;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 xml:space="preserve">      4) республиканская государственная организация здравоохранения, осуществляющая деятельность в сфере профилактики ВИЧ-инфекции (далее – РГОЗ) – организация здравоохранения, которая проводит </w:t>
      </w:r>
      <w:proofErr w:type="spellStart"/>
      <w:r>
        <w:t>скрининговые</w:t>
      </w:r>
      <w:proofErr w:type="spellEnd"/>
      <w:r>
        <w:t>, экспертные, арбитражные исследования на ВИЧ-инфекцию и другие лабораторные исследования;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5) конфиденциальное медицинское обследование – обследование, основанное на соблюдении тайны медицинского работника и сохранении информации о личности обследуемого лица;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6) сервис цифровых документов – объект информационно-коммуникационной инфраструктуры "электронного правительства", закрепленный за оператором и предназначенный для создания, хранения и использования электронных документов в целях реализации государственных функций и вытекающих из них государственных услуг, а также при взаимодействии с физическими и юридическими лицами, получении и оказании услуг в электронной форме</w:t>
      </w:r>
      <w:proofErr w:type="gramStart"/>
      <w:r>
        <w:t>.";</w:t>
      </w:r>
      <w:proofErr w:type="gramEnd"/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bookmarkStart w:id="4" w:name="z195"/>
      <w:bookmarkEnd w:id="4"/>
      <w:r>
        <w:t xml:space="preserve">      </w:t>
      </w:r>
      <w:hyperlink r:id="rId10" w:anchor="z27" w:history="1">
        <w:r>
          <w:rPr>
            <w:rStyle w:val="a4"/>
          </w:rPr>
          <w:t>пункт 3</w:t>
        </w:r>
      </w:hyperlink>
      <w:r>
        <w:t xml:space="preserve"> изложить в следующей редакции: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 xml:space="preserve">      "3. Граждане Республики Казахстан, </w:t>
      </w:r>
      <w:proofErr w:type="spellStart"/>
      <w:r>
        <w:t>кандасы</w:t>
      </w:r>
      <w:proofErr w:type="spellEnd"/>
      <w:r>
        <w:t>, иностранцы и лица без гражданства, беженцы и лица, ищущие убежище, постоянно и временно проживающие на территории Республики Казахстан, изъявившие желание пройти добровольное медицинское обследование на ВИЧ-инфекцию, обследуются по их выбору: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1) анонимно (документы не требуются);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2) конфиденциально (предоставляется документ, удостоверяющий личность, либо электронный документ из сервиса цифровых документов (для идентификации), домашний адрес, телефон)</w:t>
      </w:r>
      <w:proofErr w:type="gramStart"/>
      <w:r>
        <w:t>."</w:t>
      </w:r>
      <w:proofErr w:type="gramEnd"/>
      <w:r>
        <w:t>;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bookmarkStart w:id="5" w:name="z199"/>
      <w:bookmarkEnd w:id="5"/>
      <w:r>
        <w:t xml:space="preserve">      </w:t>
      </w:r>
      <w:hyperlink r:id="rId11" w:anchor="z36" w:history="1">
        <w:r>
          <w:rPr>
            <w:rStyle w:val="a4"/>
          </w:rPr>
          <w:t>пункт 7</w:t>
        </w:r>
      </w:hyperlink>
      <w:r>
        <w:t xml:space="preserve"> изложить в следующей редакции: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"7. Забор крови для обследования на наличие ВИЧ-инфекции проводят организации здравоохранения, независимо от формы собственности и ведомственной принадлежности, при предъявлении документа, удостоверяющего личность, либо электронного документа из сервиса цифровых документов (для идентификации). Забор крови производится в вакуумную пробирку с разделительным гелем и активатором свертываемости объемом не менее 5 (пяти) миллилитров (далее – мл). Образец крови направляется в лабораторию территориальной государственной организации здравоохранения, осуществляющей деятельность в сфере профилактике ВИЧ-инфекции, проводящую исследование на ВИЧ-инфекцию, при температуре + 2</w:t>
      </w:r>
      <w:r>
        <w:rPr>
          <w:rFonts w:ascii="Cambria Math" w:hAnsi="Cambria Math" w:cs="Cambria Math"/>
        </w:rPr>
        <w:t>℃</w:t>
      </w:r>
      <w:r>
        <w:t xml:space="preserve"> - +8</w:t>
      </w:r>
      <w:r>
        <w:rPr>
          <w:rFonts w:ascii="Cambria Math" w:hAnsi="Cambria Math" w:cs="Cambria Math"/>
        </w:rPr>
        <w:t>℃</w:t>
      </w:r>
      <w:r>
        <w:t xml:space="preserve"> и используется для серологических исследований в течение 5 (пяти) календарных дней с момента забора крови. К образцу крови прилагается "Направление на лабораторные исследование услуги/ на консультационные услуги/ на госпитализацию, перевод в другой стационар" по форме № 097/у, утвержденной </w:t>
      </w:r>
      <w:hyperlink r:id="rId12" w:anchor="z2" w:history="1">
        <w:r>
          <w:rPr>
            <w:rStyle w:val="a4"/>
          </w:rPr>
          <w:t>приказом</w:t>
        </w:r>
      </w:hyperlink>
      <w:r>
        <w:t xml:space="preserve"> исполняющего обязанности Министра здравоохранения Республики Казахстан от 30 октября 2020 года № Қ</w:t>
      </w:r>
      <w:proofErr w:type="gramStart"/>
      <w:r>
        <w:t>Р</w:t>
      </w:r>
      <w:proofErr w:type="gramEnd"/>
      <w:r>
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21579).";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bookmarkStart w:id="6" w:name="z201"/>
      <w:bookmarkEnd w:id="6"/>
      <w:r>
        <w:t xml:space="preserve">      </w:t>
      </w:r>
      <w:hyperlink r:id="rId13" w:anchor="z40" w:history="1">
        <w:r>
          <w:rPr>
            <w:rStyle w:val="a4"/>
          </w:rPr>
          <w:t>пункт 10</w:t>
        </w:r>
      </w:hyperlink>
      <w:r>
        <w:t xml:space="preserve"> изложить в следующей редакции:</w:t>
      </w:r>
    </w:p>
    <w:p w:rsidR="002601B4" w:rsidRDefault="002601B4" w:rsidP="002601B4">
      <w:pPr>
        <w:pStyle w:val="a3"/>
        <w:spacing w:before="0" w:beforeAutospacing="0" w:after="0" w:afterAutospacing="0" w:line="240" w:lineRule="atLeast"/>
      </w:pPr>
      <w:r>
        <w:t>      "10. При получении отрицательного результата Т</w:t>
      </w:r>
      <w:proofErr w:type="gramStart"/>
      <w:r>
        <w:t>1</w:t>
      </w:r>
      <w:proofErr w:type="gramEnd"/>
      <w:r>
        <w:t xml:space="preserve"> обследуемому выдается результат "ВИЧ отрицательный". Отрицательный результат, обследуемый получает по месту забора крови при предъявлении документа, удостоверяющего личность, либо электронного документа из сервиса цифровых документов (для идентификации) в течение 3 (трех) рабочих дней с момента поступления образца крови для исследования в лабораторию. Перед выдачей результата проводится </w:t>
      </w:r>
      <w:proofErr w:type="spellStart"/>
      <w:r>
        <w:t>послетестовое</w:t>
      </w:r>
      <w:proofErr w:type="spellEnd"/>
      <w:r>
        <w:t xml:space="preserve"> консультирование</w:t>
      </w:r>
      <w:proofErr w:type="gramStart"/>
      <w:r>
        <w:t>.".</w:t>
      </w:r>
      <w:proofErr w:type="gramEnd"/>
    </w:p>
    <w:p w:rsidR="0070685A" w:rsidRDefault="0070685A" w:rsidP="002601B4">
      <w:pPr>
        <w:spacing w:after="0" w:line="240" w:lineRule="atLeast"/>
      </w:pPr>
    </w:p>
    <w:sectPr w:rsidR="0070685A" w:rsidSect="002601B4">
      <w:pgSz w:w="11906" w:h="16838"/>
      <w:pgMar w:top="567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627FD"/>
    <w:multiLevelType w:val="multilevel"/>
    <w:tmpl w:val="7832B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B4"/>
    <w:rsid w:val="002601B4"/>
    <w:rsid w:val="0070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01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0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000021682" TargetMode="External"/><Relationship Id="rId13" Type="http://schemas.openxmlformats.org/officeDocument/2006/relationships/hyperlink" Target="https://adilet.zan.kz/rus/docs/V200002168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dilet.zan.kz/rus/docs/V2000021682" TargetMode="External"/><Relationship Id="rId12" Type="http://schemas.openxmlformats.org/officeDocument/2006/relationships/hyperlink" Target="https://adilet.zan.kz/rus/docs/V2000021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100025688" TargetMode="External"/><Relationship Id="rId11" Type="http://schemas.openxmlformats.org/officeDocument/2006/relationships/hyperlink" Target="https://adilet.zan.kz/rus/docs/V20000216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ilet.zan.kz/rus/docs/V20000216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6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1091</Words>
  <Characters>6224</Characters>
  <Application>Microsoft Office Word</Application>
  <DocSecurity>0</DocSecurity>
  <Lines>51</Lines>
  <Paragraphs>14</Paragraphs>
  <ScaleCrop>false</ScaleCrop>
  <Company/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SAIKINA</dc:creator>
  <cp:lastModifiedBy>SAIKINA</cp:lastModifiedBy>
  <cp:revision>1</cp:revision>
  <dcterms:created xsi:type="dcterms:W3CDTF">2022-01-25T10:02:00Z</dcterms:created>
  <dcterms:modified xsi:type="dcterms:W3CDTF">2022-01-25T10:07:00Z</dcterms:modified>
</cp:coreProperties>
</file>