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CBE" w:rsidRPr="00A02CBE" w:rsidRDefault="00A02CBE" w:rsidP="00A02CBE">
      <w:pPr>
        <w:jc w:val="right"/>
        <w:rPr>
          <w:i/>
          <w:sz w:val="22"/>
          <w:szCs w:val="22"/>
        </w:rPr>
      </w:pPr>
      <w:proofErr w:type="spellStart"/>
      <w:r w:rsidRPr="00A02CBE">
        <w:rPr>
          <w:i/>
          <w:sz w:val="22"/>
          <w:szCs w:val="22"/>
        </w:rPr>
        <w:t>Қосымша</w:t>
      </w:r>
      <w:proofErr w:type="spellEnd"/>
      <w:r w:rsidRPr="00A02CBE">
        <w:rPr>
          <w:i/>
          <w:sz w:val="22"/>
          <w:szCs w:val="22"/>
        </w:rPr>
        <w:t xml:space="preserve"> 2 </w:t>
      </w:r>
    </w:p>
    <w:p w:rsidR="00A02CBE" w:rsidRDefault="00A02CBE" w:rsidP="00A02CBE">
      <w:pPr>
        <w:jc w:val="right"/>
        <w:rPr>
          <w:i/>
          <w:sz w:val="22"/>
          <w:szCs w:val="22"/>
        </w:rPr>
      </w:pPr>
      <w:proofErr w:type="spellStart"/>
      <w:r w:rsidRPr="00A02CBE">
        <w:rPr>
          <w:i/>
          <w:sz w:val="22"/>
          <w:szCs w:val="22"/>
        </w:rPr>
        <w:t>тендерлік</w:t>
      </w:r>
      <w:proofErr w:type="spellEnd"/>
      <w:r w:rsidRPr="00A02CBE">
        <w:rPr>
          <w:i/>
          <w:sz w:val="22"/>
          <w:szCs w:val="22"/>
        </w:rPr>
        <w:t xml:space="preserve"> </w:t>
      </w:r>
      <w:proofErr w:type="spellStart"/>
      <w:r w:rsidRPr="00A02CBE">
        <w:rPr>
          <w:i/>
          <w:sz w:val="22"/>
          <w:szCs w:val="22"/>
        </w:rPr>
        <w:t>құжаттамаға</w:t>
      </w:r>
      <w:proofErr w:type="spellEnd"/>
    </w:p>
    <w:p w:rsidR="00A02CBE" w:rsidRPr="00A02CBE" w:rsidRDefault="00A02CBE" w:rsidP="00A02CBE">
      <w:pPr>
        <w:jc w:val="right"/>
        <w:rPr>
          <w:i/>
          <w:sz w:val="22"/>
          <w:szCs w:val="22"/>
        </w:rPr>
      </w:pPr>
    </w:p>
    <w:p w:rsidR="00836538" w:rsidRPr="00A02CBE" w:rsidRDefault="00A02CBE" w:rsidP="00A02CBE">
      <w:pPr>
        <w:jc w:val="center"/>
        <w:rPr>
          <w:b/>
          <w:sz w:val="22"/>
          <w:szCs w:val="22"/>
        </w:rPr>
      </w:pPr>
      <w:r w:rsidRPr="00A02CBE">
        <w:rPr>
          <w:i/>
          <w:sz w:val="22"/>
          <w:szCs w:val="22"/>
        </w:rPr>
        <w:t xml:space="preserve">     </w:t>
      </w:r>
      <w:proofErr w:type="spellStart"/>
      <w:r w:rsidRPr="00A02CBE">
        <w:rPr>
          <w:b/>
          <w:sz w:val="22"/>
          <w:szCs w:val="22"/>
        </w:rPr>
        <w:t>Сатып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алынатын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тауарлардың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техникалық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ерекшелігі</w:t>
      </w:r>
      <w:proofErr w:type="spellEnd"/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38"/>
        <w:gridCol w:w="7938"/>
        <w:gridCol w:w="1701"/>
        <w:gridCol w:w="1470"/>
      </w:tblGrid>
      <w:tr w:rsidR="00A02CBE" w:rsidRPr="00A02CBE" w:rsidTr="00EB6A77">
        <w:trPr>
          <w:jc w:val="center"/>
        </w:trPr>
        <w:tc>
          <w:tcPr>
            <w:tcW w:w="710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r w:rsidRPr="00A02CBE">
              <w:rPr>
                <w:b/>
                <w:sz w:val="22"/>
                <w:szCs w:val="22"/>
              </w:rPr>
              <w:t>лот №</w:t>
            </w:r>
          </w:p>
        </w:tc>
        <w:tc>
          <w:tcPr>
            <w:tcW w:w="3538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2CBE">
              <w:rPr>
                <w:b/>
                <w:sz w:val="22"/>
                <w:szCs w:val="22"/>
              </w:rPr>
              <w:t>Тауардың</w:t>
            </w:r>
            <w:proofErr w:type="spellEnd"/>
            <w:r w:rsidRPr="00A02CB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2CBE">
              <w:rPr>
                <w:b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7938" w:type="dxa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2CBE">
              <w:rPr>
                <w:b/>
                <w:sz w:val="22"/>
                <w:szCs w:val="22"/>
              </w:rPr>
              <w:t>Сипаттамасы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2CBE">
              <w:rPr>
                <w:b/>
                <w:sz w:val="22"/>
                <w:szCs w:val="22"/>
              </w:rPr>
              <w:t>өлшеп-орау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r w:rsidRPr="00A02CBE">
              <w:rPr>
                <w:b/>
                <w:sz w:val="22"/>
                <w:szCs w:val="22"/>
              </w:rPr>
              <w:t>саны</w:t>
            </w:r>
          </w:p>
        </w:tc>
      </w:tr>
      <w:tr w:rsidR="00EB6A77" w:rsidRPr="00A02CBE" w:rsidTr="00EB6A7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EB6A77" w:rsidRPr="00310E5D" w:rsidRDefault="00EB6A77" w:rsidP="00EB6A77">
            <w:pPr>
              <w:ind w:left="-250" w:right="-107" w:firstLine="14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538" w:type="dxa"/>
            <w:shd w:val="clear" w:color="auto" w:fill="auto"/>
          </w:tcPr>
          <w:p w:rsidR="00EB6A77" w:rsidRPr="00EB6A77" w:rsidRDefault="00EB6A77" w:rsidP="00EB6A77">
            <w:pPr>
              <w:rPr>
                <w:sz w:val="22"/>
                <w:szCs w:val="22"/>
                <w:lang w:val="en-US"/>
              </w:rPr>
            </w:pPr>
            <w:proofErr w:type="spellStart"/>
            <w:r w:rsidRPr="007E73F9">
              <w:rPr>
                <w:sz w:val="22"/>
                <w:szCs w:val="22"/>
              </w:rPr>
              <w:t>Көлемі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>: 5</w:t>
            </w:r>
            <w:r w:rsidRPr="007E73F9">
              <w:rPr>
                <w:sz w:val="22"/>
                <w:szCs w:val="22"/>
              </w:rPr>
              <w:t>мл</w:t>
            </w:r>
            <w:r w:rsidRPr="00EB6A77">
              <w:rPr>
                <w:sz w:val="22"/>
                <w:szCs w:val="22"/>
                <w:lang w:val="en-US"/>
              </w:rPr>
              <w:t xml:space="preserve">; 22gx11/2 </w:t>
            </w:r>
            <w:proofErr w:type="spellStart"/>
            <w:r w:rsidRPr="007E73F9">
              <w:rPr>
                <w:sz w:val="22"/>
                <w:szCs w:val="22"/>
              </w:rPr>
              <w:t>инелері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r w:rsidRPr="007E73F9">
              <w:rPr>
                <w:sz w:val="22"/>
                <w:szCs w:val="22"/>
              </w:rPr>
              <w:t>бар</w:t>
            </w:r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бір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рет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қолданылатын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үш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компонентті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зарарсыздандырылған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инъекциялық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r w:rsidRPr="007E73F9">
              <w:rPr>
                <w:sz w:val="22"/>
                <w:szCs w:val="22"/>
              </w:rPr>
              <w:t>Шприц</w:t>
            </w:r>
          </w:p>
          <w:p w:rsidR="00EB6A77" w:rsidRPr="00EB6A77" w:rsidRDefault="00EB6A77" w:rsidP="00EB6A7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938" w:type="dxa"/>
          </w:tcPr>
          <w:p w:rsidR="00EB6A77" w:rsidRPr="00AE6198" w:rsidRDefault="00EB6A77" w:rsidP="00EB6A77">
            <w:pPr>
              <w:rPr>
                <w:sz w:val="22"/>
                <w:szCs w:val="22"/>
              </w:rPr>
            </w:pPr>
            <w:r w:rsidRPr="007E73F9">
              <w:rPr>
                <w:sz w:val="22"/>
                <w:szCs w:val="22"/>
              </w:rPr>
              <w:t>Шприц</w:t>
            </w:r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жоғары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сапалы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пластиктен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жасалған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және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поршеньден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E73F9">
              <w:rPr>
                <w:sz w:val="22"/>
                <w:szCs w:val="22"/>
              </w:rPr>
              <w:t>тығыздағыш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резеңке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сақинадан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және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цилиндрден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тұрады</w:t>
            </w:r>
            <w:proofErr w:type="spellEnd"/>
            <w:r w:rsidRPr="00EB6A77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7E73F9">
              <w:rPr>
                <w:sz w:val="22"/>
                <w:szCs w:val="22"/>
              </w:rPr>
              <w:t>Үш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қырлы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ине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силиконның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жұқа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қабатымен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жабылған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200 000</w:t>
            </w:r>
          </w:p>
        </w:tc>
      </w:tr>
      <w:tr w:rsidR="00EB6A77" w:rsidRPr="00A02CBE" w:rsidTr="00EB6A7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EB6A77" w:rsidRPr="00EB6A77" w:rsidRDefault="00EB6A77" w:rsidP="00EB6A77">
            <w:pPr>
              <w:ind w:left="-250" w:right="-107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38" w:type="dxa"/>
            <w:shd w:val="clear" w:color="auto" w:fill="auto"/>
          </w:tcPr>
          <w:p w:rsidR="00EB6A77" w:rsidRPr="00AE6198" w:rsidRDefault="00EB6A77" w:rsidP="00EB6A77">
            <w:pPr>
              <w:rPr>
                <w:sz w:val="22"/>
                <w:szCs w:val="22"/>
              </w:rPr>
            </w:pPr>
            <w:proofErr w:type="spellStart"/>
            <w:r w:rsidRPr="007E73F9">
              <w:rPr>
                <w:sz w:val="22"/>
                <w:szCs w:val="22"/>
              </w:rPr>
              <w:t>Көлемі</w:t>
            </w:r>
            <w:proofErr w:type="spellEnd"/>
            <w:r w:rsidRPr="007E73F9">
              <w:rPr>
                <w:sz w:val="22"/>
                <w:szCs w:val="22"/>
              </w:rPr>
              <w:t xml:space="preserve">: 2мл; 23gx1 </w:t>
            </w:r>
            <w:proofErr w:type="spellStart"/>
            <w:r w:rsidRPr="007E73F9">
              <w:rPr>
                <w:sz w:val="22"/>
                <w:szCs w:val="22"/>
              </w:rPr>
              <w:t>инелері</w:t>
            </w:r>
            <w:proofErr w:type="spellEnd"/>
            <w:r w:rsidRPr="007E73F9">
              <w:rPr>
                <w:sz w:val="22"/>
                <w:szCs w:val="22"/>
              </w:rPr>
              <w:t xml:space="preserve"> бар </w:t>
            </w:r>
            <w:proofErr w:type="spellStart"/>
            <w:r w:rsidRPr="007E73F9">
              <w:rPr>
                <w:sz w:val="22"/>
                <w:szCs w:val="22"/>
              </w:rPr>
              <w:t>бір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рет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қолданылатын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үш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компонентті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зарарсыздандырылған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инъекциялық</w:t>
            </w:r>
            <w:proofErr w:type="spellEnd"/>
            <w:r w:rsidRPr="007E73F9">
              <w:rPr>
                <w:sz w:val="22"/>
                <w:szCs w:val="22"/>
              </w:rPr>
              <w:t xml:space="preserve"> Шприц</w:t>
            </w:r>
          </w:p>
        </w:tc>
        <w:tc>
          <w:tcPr>
            <w:tcW w:w="7938" w:type="dxa"/>
            <w:vAlign w:val="center"/>
          </w:tcPr>
          <w:p w:rsidR="00EB6A77" w:rsidRPr="00AE6198" w:rsidRDefault="00EB6A77" w:rsidP="00EB6A77">
            <w:pPr>
              <w:jc w:val="both"/>
              <w:rPr>
                <w:sz w:val="22"/>
                <w:szCs w:val="22"/>
              </w:rPr>
            </w:pPr>
            <w:r w:rsidRPr="007E73F9">
              <w:rPr>
                <w:sz w:val="22"/>
                <w:szCs w:val="22"/>
              </w:rPr>
              <w:t xml:space="preserve">Шприц </w:t>
            </w:r>
            <w:proofErr w:type="spellStart"/>
            <w:r w:rsidRPr="007E73F9">
              <w:rPr>
                <w:sz w:val="22"/>
                <w:szCs w:val="22"/>
              </w:rPr>
              <w:t>жоғары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сапалы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пластиктен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жасалған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және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поршеньден</w:t>
            </w:r>
            <w:proofErr w:type="spellEnd"/>
            <w:r w:rsidRPr="007E73F9">
              <w:rPr>
                <w:sz w:val="22"/>
                <w:szCs w:val="22"/>
              </w:rPr>
              <w:t xml:space="preserve">, </w:t>
            </w:r>
            <w:proofErr w:type="spellStart"/>
            <w:r w:rsidRPr="007E73F9">
              <w:rPr>
                <w:sz w:val="22"/>
                <w:szCs w:val="22"/>
              </w:rPr>
              <w:t>тығыздағыш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резеңке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сақинадан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және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цилиндрден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тұрады</w:t>
            </w:r>
            <w:proofErr w:type="spellEnd"/>
            <w:r w:rsidRPr="007E73F9">
              <w:rPr>
                <w:sz w:val="22"/>
                <w:szCs w:val="22"/>
              </w:rPr>
              <w:t xml:space="preserve">. </w:t>
            </w:r>
            <w:proofErr w:type="spellStart"/>
            <w:r w:rsidRPr="007E73F9">
              <w:rPr>
                <w:sz w:val="22"/>
                <w:szCs w:val="22"/>
              </w:rPr>
              <w:t>Үш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қырлы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ине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силиконның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жұқа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қабатымен</w:t>
            </w:r>
            <w:proofErr w:type="spellEnd"/>
            <w:r w:rsidRPr="007E73F9">
              <w:rPr>
                <w:sz w:val="22"/>
                <w:szCs w:val="22"/>
              </w:rPr>
              <w:t xml:space="preserve"> </w:t>
            </w:r>
            <w:proofErr w:type="spellStart"/>
            <w:r w:rsidRPr="007E73F9">
              <w:rPr>
                <w:sz w:val="22"/>
                <w:szCs w:val="22"/>
              </w:rPr>
              <w:t>жабылған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дана 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200 000</w:t>
            </w:r>
          </w:p>
        </w:tc>
      </w:tr>
    </w:tbl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18 </w:t>
      </w:r>
      <w:proofErr w:type="spellStart"/>
      <w:r w:rsidRPr="00291A4F">
        <w:rPr>
          <w:sz w:val="22"/>
          <w:szCs w:val="22"/>
        </w:rPr>
        <w:t>т.т</w:t>
      </w:r>
      <w:proofErr w:type="spellEnd"/>
      <w:r w:rsidRPr="00291A4F">
        <w:rPr>
          <w:sz w:val="22"/>
          <w:szCs w:val="22"/>
        </w:rPr>
        <w:t xml:space="preserve">. 4 </w:t>
      </w:r>
      <w:proofErr w:type="spellStart"/>
      <w:r w:rsidRPr="00291A4F">
        <w:rPr>
          <w:sz w:val="22"/>
          <w:szCs w:val="22"/>
        </w:rPr>
        <w:t>тарау</w:t>
      </w:r>
      <w:proofErr w:type="spellEnd"/>
      <w:r w:rsidRPr="00291A4F">
        <w:rPr>
          <w:sz w:val="22"/>
          <w:szCs w:val="22"/>
        </w:rPr>
        <w:t>: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     </w:t>
      </w:r>
      <w:r w:rsidRPr="00291A4F">
        <w:rPr>
          <w:sz w:val="22"/>
          <w:szCs w:val="22"/>
        </w:rPr>
        <w:tab/>
        <w:t xml:space="preserve">1) </w:t>
      </w:r>
      <w:proofErr w:type="spellStart"/>
      <w:r w:rsidRPr="00291A4F">
        <w:rPr>
          <w:sz w:val="22"/>
          <w:szCs w:val="22"/>
        </w:rPr>
        <w:t>Кодекстің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ережелеріне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дәріханаларда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дайындалған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тізбесіне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енгізілген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рұқсат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айқындаған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тәртіппен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тіркеудің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болуы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құрамына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кіретін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дербес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құрылғы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пайдаланылмайтын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жинақтауыштарды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кезінде</w:t>
      </w:r>
      <w:proofErr w:type="spellEnd"/>
      <w:r w:rsidRPr="00291A4F">
        <w:rPr>
          <w:sz w:val="22"/>
          <w:szCs w:val="22"/>
        </w:rPr>
        <w:t xml:space="preserve"> –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бірыңғай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жылжымалы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кешен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жүзеге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асырылады</w:t>
      </w:r>
      <w:proofErr w:type="spellEnd"/>
      <w:r w:rsidRPr="00291A4F">
        <w:rPr>
          <w:sz w:val="22"/>
          <w:szCs w:val="22"/>
        </w:rPr>
        <w:t xml:space="preserve">. </w:t>
      </w:r>
      <w:proofErr w:type="spellStart"/>
      <w:r w:rsidRPr="00291A4F">
        <w:rPr>
          <w:sz w:val="22"/>
          <w:szCs w:val="22"/>
        </w:rPr>
        <w:t>Жиынтықтаушы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жиынтығын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қажеттілігінің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болмауы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сараптама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ұйымының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органның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хатымен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расталады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2) </w:t>
      </w:r>
      <w:proofErr w:type="spellStart"/>
      <w:r w:rsidRPr="00291A4F">
        <w:rPr>
          <w:sz w:val="22"/>
          <w:szCs w:val="22"/>
        </w:rPr>
        <w:t>сипаттаманың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хабарландыру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шарттарына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  <w:r w:rsidRPr="00291A4F">
        <w:rPr>
          <w:sz w:val="22"/>
          <w:szCs w:val="22"/>
        </w:rPr>
        <w:t xml:space="preserve">.  </w:t>
      </w:r>
      <w:proofErr w:type="spellStart"/>
      <w:r w:rsidRPr="00291A4F">
        <w:rPr>
          <w:sz w:val="22"/>
          <w:szCs w:val="22"/>
        </w:rPr>
        <w:t>Бұл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ретте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ұсынылатын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функционалдық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сипаттамаларының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кетуіне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жол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3)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рұқсат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бірыңғай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дистрибьютордың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үстеме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ескере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отырып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халықаралық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патенттелмеген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сауда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атауы</w:t>
      </w:r>
      <w:proofErr w:type="spellEnd"/>
      <w:r w:rsidRPr="00291A4F">
        <w:rPr>
          <w:sz w:val="22"/>
          <w:szCs w:val="22"/>
        </w:rPr>
        <w:t xml:space="preserve"> (бар </w:t>
      </w:r>
      <w:proofErr w:type="spellStart"/>
      <w:r w:rsidRPr="00291A4F">
        <w:rPr>
          <w:sz w:val="22"/>
          <w:szCs w:val="22"/>
        </w:rPr>
        <w:t>болса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Бойынша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шекті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бағалардан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хабарландырудағы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асырмау</w:t>
      </w:r>
      <w:proofErr w:type="spellEnd"/>
      <w:proofErr w:type="gramStart"/>
      <w:r w:rsidRPr="00291A4F">
        <w:rPr>
          <w:sz w:val="22"/>
          <w:szCs w:val="22"/>
        </w:rPr>
        <w:t>; ;</w:t>
      </w:r>
      <w:proofErr w:type="gramEnd"/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4)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қағидаларына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олардың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қауіпсіздігін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тиімділігі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қамтамасыз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ететін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табылады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5)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таңбалаудың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тұтыну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қаптамасының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қолдану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жөніндегі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нұсқаулықтың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заңнамасына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белгілеген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тәртіпке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жүргізіледі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6) </w:t>
      </w:r>
      <w:proofErr w:type="spellStart"/>
      <w:r w:rsidRPr="00291A4F">
        <w:rPr>
          <w:sz w:val="22"/>
          <w:szCs w:val="22"/>
        </w:rPr>
        <w:t>Тапсырыс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Өнім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күніне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мыналарды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құрайды</w:t>
      </w:r>
      <w:proofErr w:type="spellEnd"/>
      <w:r w:rsidRPr="00291A4F">
        <w:rPr>
          <w:sz w:val="22"/>
          <w:szCs w:val="22"/>
        </w:rPr>
        <w:t>:</w:t>
      </w:r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пайызы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жылдан</w:t>
      </w:r>
      <w:proofErr w:type="spellEnd"/>
      <w:r w:rsidRPr="00291A4F">
        <w:rPr>
          <w:sz w:val="22"/>
          <w:szCs w:val="22"/>
        </w:rPr>
        <w:t xml:space="preserve"> кем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 xml:space="preserve">); </w:t>
      </w: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он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айы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астам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>);</w:t>
      </w:r>
    </w:p>
    <w:p w:rsidR="00140341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13) </w:t>
      </w:r>
      <w:proofErr w:type="spellStart"/>
      <w:r w:rsidRPr="00291A4F">
        <w:rPr>
          <w:sz w:val="22"/>
          <w:szCs w:val="22"/>
        </w:rPr>
        <w:t>шарттың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фармацевтикалық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қызметті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санын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мерзімдерін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жатады</w:t>
      </w:r>
      <w:proofErr w:type="spellEnd"/>
      <w:r w:rsidRPr="00291A4F">
        <w:rPr>
          <w:sz w:val="22"/>
          <w:szCs w:val="22"/>
        </w:rPr>
        <w:t>.</w:t>
      </w:r>
    </w:p>
    <w:p w:rsidR="00563893" w:rsidRPr="0093642A" w:rsidRDefault="00563893" w:rsidP="00291A4F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</w:p>
    <w:p w:rsidR="00563893" w:rsidRDefault="00563893" w:rsidP="00530A7F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</w:t>
      </w:r>
      <w:r w:rsidR="00016418">
        <w:rPr>
          <w:rFonts w:eastAsia="Calibri"/>
          <w:b/>
          <w:sz w:val="22"/>
          <w:szCs w:val="22"/>
          <w:lang w:eastAsia="en-US"/>
        </w:rPr>
        <w:t>Директор</w:t>
      </w: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</w:t>
      </w:r>
      <w:proofErr w:type="spellStart"/>
      <w:r w:rsidRPr="0093642A">
        <w:rPr>
          <w:rFonts w:eastAsia="Calibri"/>
          <w:b/>
          <w:sz w:val="22"/>
          <w:szCs w:val="22"/>
          <w:lang w:eastAsia="en-US"/>
        </w:rPr>
        <w:t>Сыздыкова</w:t>
      </w:r>
      <w:proofErr w:type="spellEnd"/>
      <w:r w:rsidR="00530A7F" w:rsidRPr="00530A7F">
        <w:rPr>
          <w:rFonts w:eastAsia="Calibri"/>
          <w:b/>
          <w:sz w:val="22"/>
          <w:szCs w:val="22"/>
          <w:lang w:eastAsia="en-US"/>
        </w:rPr>
        <w:t xml:space="preserve"> </w:t>
      </w:r>
      <w:r w:rsidR="00530A7F" w:rsidRPr="0093642A">
        <w:rPr>
          <w:rFonts w:eastAsia="Calibri"/>
          <w:b/>
          <w:sz w:val="22"/>
          <w:szCs w:val="22"/>
          <w:lang w:eastAsia="en-US"/>
        </w:rPr>
        <w:t>А.К.</w:t>
      </w: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A02CBE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lastRenderedPageBreak/>
        <w:t>Приложение 2</w:t>
      </w:r>
      <w:r w:rsidRPr="00AC1B2A">
        <w:rPr>
          <w:sz w:val="22"/>
          <w:szCs w:val="22"/>
        </w:rPr>
        <w:t xml:space="preserve"> </w:t>
      </w:r>
    </w:p>
    <w:p w:rsidR="00A02CBE" w:rsidRPr="000866B5" w:rsidRDefault="00A02CBE" w:rsidP="00A02CBE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A02CBE" w:rsidRDefault="00A02CBE" w:rsidP="00A02C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Pr="00E7468C">
        <w:rPr>
          <w:b/>
          <w:sz w:val="22"/>
          <w:szCs w:val="22"/>
        </w:rPr>
        <w:t xml:space="preserve"> закупаемых товаров</w:t>
      </w:r>
    </w:p>
    <w:p w:rsidR="00A02CBE" w:rsidRPr="000866B5" w:rsidRDefault="00A02CBE" w:rsidP="00A02CBE">
      <w:pPr>
        <w:jc w:val="center"/>
        <w:rPr>
          <w:b/>
          <w:sz w:val="22"/>
          <w:szCs w:val="22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13"/>
        <w:gridCol w:w="8646"/>
        <w:gridCol w:w="1418"/>
        <w:gridCol w:w="1470"/>
      </w:tblGrid>
      <w:tr w:rsidR="00A02CBE" w:rsidRPr="00C01E78" w:rsidTr="00EB6A77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02CBE" w:rsidRPr="00C01E78" w:rsidRDefault="00A02CBE" w:rsidP="006D63D9">
            <w:pPr>
              <w:ind w:left="-250" w:right="-107" w:firstLine="142"/>
              <w:jc w:val="center"/>
              <w:rPr>
                <w:b/>
                <w:sz w:val="22"/>
                <w:szCs w:val="22"/>
                <w:lang w:val="kk-KZ"/>
              </w:rPr>
            </w:pPr>
            <w:r w:rsidRPr="00C01E78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02CBE" w:rsidRPr="00C01E78" w:rsidRDefault="00A02CBE" w:rsidP="006D63D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C01E78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8646" w:type="dxa"/>
            <w:vAlign w:val="center"/>
          </w:tcPr>
          <w:p w:rsidR="00A02CBE" w:rsidRPr="00C01E78" w:rsidRDefault="00A02CBE" w:rsidP="006D63D9">
            <w:pPr>
              <w:ind w:left="-534" w:right="-107" w:firstLine="142"/>
              <w:jc w:val="center"/>
              <w:rPr>
                <w:b/>
                <w:sz w:val="22"/>
                <w:szCs w:val="22"/>
              </w:rPr>
            </w:pPr>
            <w:r w:rsidRPr="00C01E78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2CBE" w:rsidRPr="00C01E78" w:rsidRDefault="00A02CBE" w:rsidP="006D63D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C01E78">
              <w:rPr>
                <w:b/>
                <w:sz w:val="22"/>
                <w:szCs w:val="22"/>
              </w:rPr>
              <w:t xml:space="preserve">Фасовка 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A02CBE" w:rsidRPr="00C01E78" w:rsidRDefault="00A02CBE" w:rsidP="006D63D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C01E78">
              <w:rPr>
                <w:b/>
                <w:sz w:val="22"/>
                <w:szCs w:val="22"/>
              </w:rPr>
              <w:t>Кол</w:t>
            </w:r>
          </w:p>
          <w:p w:rsidR="00A02CBE" w:rsidRPr="00C01E78" w:rsidRDefault="00A02CBE" w:rsidP="006D63D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C01E78">
              <w:rPr>
                <w:b/>
                <w:sz w:val="22"/>
                <w:szCs w:val="22"/>
              </w:rPr>
              <w:t>-во</w:t>
            </w:r>
          </w:p>
        </w:tc>
      </w:tr>
      <w:tr w:rsidR="00EB6A77" w:rsidRPr="00C01E78" w:rsidTr="00EB6A7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EB6A77" w:rsidRPr="00310E5D" w:rsidRDefault="00EB6A77" w:rsidP="00EB6A77">
            <w:pPr>
              <w:ind w:left="-250" w:right="-107" w:firstLine="14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113" w:type="dxa"/>
            <w:shd w:val="clear" w:color="auto" w:fill="auto"/>
          </w:tcPr>
          <w:p w:rsidR="00EB6A77" w:rsidRPr="004E0955" w:rsidRDefault="00EB6A77" w:rsidP="00EB6A77">
            <w:pPr>
              <w:pStyle w:val="a4"/>
              <w:rPr>
                <w:rFonts w:ascii="Times New Roman" w:hAnsi="Times New Roman"/>
              </w:rPr>
            </w:pPr>
            <w:r w:rsidRPr="004E0955">
              <w:rPr>
                <w:rFonts w:ascii="Times New Roman" w:hAnsi="Times New Roman"/>
              </w:rPr>
              <w:t>Шприц инъекционный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8646" w:type="dxa"/>
          </w:tcPr>
          <w:p w:rsidR="00EB6A77" w:rsidRPr="004E0955" w:rsidRDefault="00EB6A77" w:rsidP="00EB6A77">
            <w:pPr>
              <w:pStyle w:val="a4"/>
              <w:rPr>
                <w:rFonts w:ascii="Times New Roman" w:hAnsi="Times New Roman"/>
              </w:rPr>
            </w:pPr>
            <w:r w:rsidRPr="004E0955">
              <w:rPr>
                <w:rFonts w:ascii="Times New Roman" w:hAnsi="Times New Roman"/>
              </w:rPr>
              <w:t>Шприц изготовлен из высококачественного пластика и состоит из поршня, уплотнительного резинового кольца и цилиндра с градуировкой. Игла с трехгранной заточкой покрыта тонким слоем силикона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200 000</w:t>
            </w:r>
          </w:p>
        </w:tc>
      </w:tr>
      <w:tr w:rsidR="00EB6A77" w:rsidRPr="00C01E78" w:rsidTr="00EB6A7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EB6A77" w:rsidRPr="00EB6A77" w:rsidRDefault="00EB6A77" w:rsidP="00EB6A77">
            <w:pPr>
              <w:ind w:left="-250" w:right="-107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3" w:type="dxa"/>
            <w:shd w:val="clear" w:color="auto" w:fill="auto"/>
          </w:tcPr>
          <w:p w:rsidR="00EB6A77" w:rsidRPr="004E0955" w:rsidRDefault="00EB6A77" w:rsidP="00EB6A77">
            <w:pPr>
              <w:pStyle w:val="a4"/>
              <w:rPr>
                <w:rFonts w:ascii="Times New Roman" w:hAnsi="Times New Roman"/>
              </w:rPr>
            </w:pPr>
            <w:r w:rsidRPr="004E0955">
              <w:rPr>
                <w:rFonts w:ascii="Times New Roman" w:hAnsi="Times New Roman"/>
              </w:rPr>
              <w:t>Шприц инъекционный трехкомпонентный стерильный однократного применения объемами: 2мл; с иглами 23Gx1"</w:t>
            </w:r>
          </w:p>
        </w:tc>
        <w:tc>
          <w:tcPr>
            <w:tcW w:w="8646" w:type="dxa"/>
          </w:tcPr>
          <w:p w:rsidR="00EB6A77" w:rsidRPr="004E0955" w:rsidRDefault="00EB6A77" w:rsidP="00EB6A77">
            <w:pPr>
              <w:pStyle w:val="a4"/>
              <w:rPr>
                <w:rFonts w:ascii="Times New Roman" w:hAnsi="Times New Roman"/>
              </w:rPr>
            </w:pPr>
            <w:r w:rsidRPr="004E0955">
              <w:rPr>
                <w:rFonts w:ascii="Times New Roman" w:hAnsi="Times New Roman"/>
              </w:rPr>
              <w:t>Шприц изготовлен из высококачественного пластика и состоит из поршня, уплотнительного резинового кольца и цилиндра с градуировкой. Игла с трехгранной заточкой покрыта тонким слоем силикона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Штука 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EB6A77" w:rsidRDefault="00EB6A77" w:rsidP="00EB6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200 000</w:t>
            </w:r>
          </w:p>
        </w:tc>
      </w:tr>
    </w:tbl>
    <w:p w:rsidR="00A02CBE" w:rsidRPr="00016418" w:rsidRDefault="00A02CBE" w:rsidP="00A02CBE">
      <w:pPr>
        <w:rPr>
          <w:sz w:val="22"/>
          <w:szCs w:val="22"/>
        </w:rPr>
      </w:pPr>
      <w:proofErr w:type="spellStart"/>
      <w:r w:rsidRPr="00016418">
        <w:rPr>
          <w:sz w:val="22"/>
          <w:szCs w:val="22"/>
        </w:rPr>
        <w:t>п.п</w:t>
      </w:r>
      <w:proofErr w:type="spellEnd"/>
      <w:r w:rsidRPr="00016418">
        <w:rPr>
          <w:sz w:val="22"/>
          <w:szCs w:val="22"/>
        </w:rPr>
        <w:t>. 18. Глава 4: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     </w:t>
      </w:r>
      <w:r w:rsidRPr="00016418">
        <w:rPr>
          <w:sz w:val="22"/>
          <w:szCs w:val="22"/>
        </w:rPr>
        <w:tab/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016418">
        <w:rPr>
          <w:sz w:val="22"/>
          <w:szCs w:val="22"/>
        </w:rPr>
        <w:t>орфанных</w:t>
      </w:r>
      <w:proofErr w:type="spellEnd"/>
      <w:r w:rsidRPr="00016418">
        <w:rPr>
          <w:sz w:val="22"/>
          <w:szCs w:val="22"/>
        </w:rPr>
        <w:t xml:space="preserve"> препаратов, включенных в перечень </w:t>
      </w:r>
      <w:proofErr w:type="spellStart"/>
      <w:r w:rsidRPr="00016418">
        <w:rPr>
          <w:sz w:val="22"/>
          <w:szCs w:val="22"/>
        </w:rPr>
        <w:t>орфанных</w:t>
      </w:r>
      <w:proofErr w:type="spellEnd"/>
      <w:r w:rsidRPr="00016418">
        <w:rPr>
          <w:sz w:val="22"/>
          <w:szCs w:val="22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2) соответствие характеристики или технической спецификации условиям объявления или приглашения на закуп. При этом, допускается </w:t>
      </w:r>
      <w:proofErr w:type="gramStart"/>
      <w:r w:rsidRPr="00016418">
        <w:rPr>
          <w:sz w:val="22"/>
          <w:szCs w:val="22"/>
        </w:rPr>
        <w:t>превышение  предлагаемых</w:t>
      </w:r>
      <w:proofErr w:type="gramEnd"/>
      <w:r w:rsidRPr="00016418">
        <w:rPr>
          <w:sz w:val="22"/>
          <w:szCs w:val="22"/>
        </w:rPr>
        <w:t xml:space="preserve">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13) соблюдение количества, качества и сроков поставки или оказания фармацевтической услуги условиям договора.</w:t>
      </w:r>
    </w:p>
    <w:p w:rsidR="00A02CBE" w:rsidRPr="0093642A" w:rsidRDefault="00A02CBE" w:rsidP="00A02CBE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A02CBE" w:rsidRPr="0093642A" w:rsidRDefault="00A02CBE" w:rsidP="00A02CBE">
      <w:pPr>
        <w:rPr>
          <w:rFonts w:eastAsia="Calibri"/>
          <w:b/>
          <w:sz w:val="22"/>
          <w:szCs w:val="22"/>
          <w:lang w:eastAsia="en-US"/>
        </w:rPr>
      </w:pPr>
    </w:p>
    <w:p w:rsidR="009550E7" w:rsidRPr="0093642A" w:rsidRDefault="00A02CBE" w:rsidP="00EB6A77"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</w:t>
      </w:r>
      <w:r>
        <w:rPr>
          <w:rFonts w:eastAsia="Calibri"/>
          <w:b/>
          <w:sz w:val="22"/>
          <w:szCs w:val="22"/>
          <w:lang w:eastAsia="en-US"/>
        </w:rPr>
        <w:t>Директор</w:t>
      </w: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</w:t>
      </w:r>
      <w:proofErr w:type="spellStart"/>
      <w:r w:rsidRPr="0093642A">
        <w:rPr>
          <w:rFonts w:eastAsia="Calibri"/>
          <w:b/>
          <w:sz w:val="22"/>
          <w:szCs w:val="22"/>
          <w:lang w:eastAsia="en-US"/>
        </w:rPr>
        <w:t>Сыздыкова</w:t>
      </w:r>
      <w:proofErr w:type="spellEnd"/>
      <w:r w:rsidR="00530A7F" w:rsidRPr="00530A7F">
        <w:rPr>
          <w:rFonts w:eastAsia="Calibri"/>
          <w:b/>
          <w:sz w:val="22"/>
          <w:szCs w:val="22"/>
          <w:lang w:eastAsia="en-US"/>
        </w:rPr>
        <w:t xml:space="preserve"> </w:t>
      </w:r>
      <w:r w:rsidR="00530A7F" w:rsidRPr="0093642A">
        <w:rPr>
          <w:rFonts w:eastAsia="Calibri"/>
          <w:b/>
          <w:sz w:val="22"/>
          <w:szCs w:val="22"/>
          <w:lang w:eastAsia="en-US"/>
        </w:rPr>
        <w:t>А.К.</w:t>
      </w:r>
      <w:bookmarkStart w:id="0" w:name="_GoBack"/>
      <w:bookmarkEnd w:id="0"/>
    </w:p>
    <w:sectPr w:rsidR="009550E7" w:rsidRPr="0093642A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E27"/>
    <w:rsid w:val="00016418"/>
    <w:rsid w:val="000173D3"/>
    <w:rsid w:val="000246A4"/>
    <w:rsid w:val="0003105B"/>
    <w:rsid w:val="00034562"/>
    <w:rsid w:val="00037432"/>
    <w:rsid w:val="0006503C"/>
    <w:rsid w:val="000776F5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40341"/>
    <w:rsid w:val="0015205A"/>
    <w:rsid w:val="00154370"/>
    <w:rsid w:val="00166E55"/>
    <w:rsid w:val="00172316"/>
    <w:rsid w:val="001776F2"/>
    <w:rsid w:val="00193F30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6493A"/>
    <w:rsid w:val="00267A30"/>
    <w:rsid w:val="002847CB"/>
    <w:rsid w:val="0028617D"/>
    <w:rsid w:val="00291A4F"/>
    <w:rsid w:val="00293C74"/>
    <w:rsid w:val="002B7B39"/>
    <w:rsid w:val="002C62EC"/>
    <w:rsid w:val="002C7685"/>
    <w:rsid w:val="002D1ABE"/>
    <w:rsid w:val="002F7A67"/>
    <w:rsid w:val="00310E27"/>
    <w:rsid w:val="00310E5D"/>
    <w:rsid w:val="00322F99"/>
    <w:rsid w:val="00332E31"/>
    <w:rsid w:val="003507B2"/>
    <w:rsid w:val="00362622"/>
    <w:rsid w:val="00371E59"/>
    <w:rsid w:val="00372069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C1F01"/>
    <w:rsid w:val="004C7A69"/>
    <w:rsid w:val="004D1D05"/>
    <w:rsid w:val="004D60C0"/>
    <w:rsid w:val="004D7D7F"/>
    <w:rsid w:val="004E4E6D"/>
    <w:rsid w:val="004F1A9F"/>
    <w:rsid w:val="004F2292"/>
    <w:rsid w:val="005256B7"/>
    <w:rsid w:val="005303B8"/>
    <w:rsid w:val="00530A7F"/>
    <w:rsid w:val="00535CE9"/>
    <w:rsid w:val="00537173"/>
    <w:rsid w:val="005577B4"/>
    <w:rsid w:val="00562834"/>
    <w:rsid w:val="00563893"/>
    <w:rsid w:val="005660B8"/>
    <w:rsid w:val="00570BF5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47A66"/>
    <w:rsid w:val="00651899"/>
    <w:rsid w:val="0065370A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7019D"/>
    <w:rsid w:val="00774C15"/>
    <w:rsid w:val="00780774"/>
    <w:rsid w:val="007C50DB"/>
    <w:rsid w:val="007D3939"/>
    <w:rsid w:val="007F08A1"/>
    <w:rsid w:val="00805664"/>
    <w:rsid w:val="008266CA"/>
    <w:rsid w:val="00836538"/>
    <w:rsid w:val="00841538"/>
    <w:rsid w:val="008649A3"/>
    <w:rsid w:val="00884691"/>
    <w:rsid w:val="008869D0"/>
    <w:rsid w:val="008D7936"/>
    <w:rsid w:val="008F1F88"/>
    <w:rsid w:val="0090430E"/>
    <w:rsid w:val="00912ED9"/>
    <w:rsid w:val="0092062A"/>
    <w:rsid w:val="00920711"/>
    <w:rsid w:val="009260FF"/>
    <w:rsid w:val="0093642A"/>
    <w:rsid w:val="009550E7"/>
    <w:rsid w:val="00960A8F"/>
    <w:rsid w:val="00993A3D"/>
    <w:rsid w:val="009B0E3A"/>
    <w:rsid w:val="009B2BB7"/>
    <w:rsid w:val="009B3E0F"/>
    <w:rsid w:val="009C65B7"/>
    <w:rsid w:val="009F20EF"/>
    <w:rsid w:val="009F3F21"/>
    <w:rsid w:val="009F5DD3"/>
    <w:rsid w:val="00A02CBE"/>
    <w:rsid w:val="00A14228"/>
    <w:rsid w:val="00A15440"/>
    <w:rsid w:val="00A37915"/>
    <w:rsid w:val="00A4221F"/>
    <w:rsid w:val="00A66787"/>
    <w:rsid w:val="00A669CA"/>
    <w:rsid w:val="00A91ADE"/>
    <w:rsid w:val="00A926FC"/>
    <w:rsid w:val="00A92C10"/>
    <w:rsid w:val="00A973FE"/>
    <w:rsid w:val="00AC1F4B"/>
    <w:rsid w:val="00AC7B75"/>
    <w:rsid w:val="00AF2361"/>
    <w:rsid w:val="00AF6F51"/>
    <w:rsid w:val="00B01C01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A37BC"/>
    <w:rsid w:val="00BA4A4C"/>
    <w:rsid w:val="00BB514C"/>
    <w:rsid w:val="00BC0A95"/>
    <w:rsid w:val="00BC3C09"/>
    <w:rsid w:val="00BC4A5B"/>
    <w:rsid w:val="00BE3F10"/>
    <w:rsid w:val="00C00AF8"/>
    <w:rsid w:val="00C01E78"/>
    <w:rsid w:val="00C156EE"/>
    <w:rsid w:val="00C22955"/>
    <w:rsid w:val="00C33F41"/>
    <w:rsid w:val="00C55C5D"/>
    <w:rsid w:val="00CA55B8"/>
    <w:rsid w:val="00CB08CE"/>
    <w:rsid w:val="00CB1970"/>
    <w:rsid w:val="00CB6919"/>
    <w:rsid w:val="00CE3DF4"/>
    <w:rsid w:val="00CE7B1F"/>
    <w:rsid w:val="00CF426A"/>
    <w:rsid w:val="00D00B11"/>
    <w:rsid w:val="00D14D92"/>
    <w:rsid w:val="00D244A8"/>
    <w:rsid w:val="00D4021F"/>
    <w:rsid w:val="00D70D39"/>
    <w:rsid w:val="00D744DD"/>
    <w:rsid w:val="00D74EF7"/>
    <w:rsid w:val="00DB1E7F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92A9F"/>
    <w:rsid w:val="00EA52E0"/>
    <w:rsid w:val="00EB14A6"/>
    <w:rsid w:val="00EB6A77"/>
    <w:rsid w:val="00EE0BB2"/>
    <w:rsid w:val="00EE2A92"/>
    <w:rsid w:val="00F13671"/>
    <w:rsid w:val="00F27BAB"/>
    <w:rsid w:val="00F40DD6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120FE"/>
  <w15:docId w15:val="{98D1E82B-AAE3-45CF-BA71-7594E8871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6E728-6E31-48DC-B550-05CC5A607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8</cp:revision>
  <cp:lastPrinted>2022-02-21T06:57:00Z</cp:lastPrinted>
  <dcterms:created xsi:type="dcterms:W3CDTF">2022-03-24T15:38:00Z</dcterms:created>
  <dcterms:modified xsi:type="dcterms:W3CDTF">2022-04-06T19:25:00Z</dcterms:modified>
</cp:coreProperties>
</file>