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183" w:type="dxa"/>
        <w:tblInd w:w="93" w:type="dxa"/>
        <w:tblLook w:val="04A0" w:firstRow="1" w:lastRow="0" w:firstColumn="1" w:lastColumn="0" w:noHBand="0" w:noVBand="1"/>
      </w:tblPr>
      <w:tblGrid>
        <w:gridCol w:w="15183"/>
      </w:tblGrid>
      <w:tr w:rsidR="00232D08" w:rsidRPr="00A824E1" w:rsidTr="000040E1">
        <w:trPr>
          <w:trHeight w:val="315"/>
        </w:trPr>
        <w:tc>
          <w:tcPr>
            <w:tcW w:w="15183" w:type="dxa"/>
            <w:tcBorders>
              <w:top w:val="nil"/>
              <w:left w:val="nil"/>
              <w:bottom w:val="nil"/>
              <w:right w:val="nil"/>
            </w:tcBorders>
            <w:shd w:val="clear" w:color="auto" w:fill="auto"/>
            <w:noWrap/>
            <w:vAlign w:val="bottom"/>
            <w:hideMark/>
          </w:tcPr>
          <w:p w:rsidR="00232D08" w:rsidRPr="001B2F90" w:rsidRDefault="00E5739C" w:rsidP="001B2F90">
            <w:pPr>
              <w:jc w:val="right"/>
              <w:rPr>
                <w:b/>
                <w:bCs/>
                <w:color w:val="000000"/>
                <w:sz w:val="22"/>
                <w:szCs w:val="22"/>
              </w:rPr>
            </w:pPr>
            <w:r w:rsidRPr="001B2F90">
              <w:rPr>
                <w:b/>
                <w:bCs/>
                <w:color w:val="000000"/>
                <w:sz w:val="22"/>
                <w:szCs w:val="22"/>
              </w:rPr>
              <w:t>№2 қосымша</w:t>
            </w:r>
          </w:p>
        </w:tc>
      </w:tr>
      <w:tr w:rsidR="00232D08" w:rsidRPr="00A824E1" w:rsidTr="000040E1">
        <w:trPr>
          <w:trHeight w:val="315"/>
        </w:trPr>
        <w:tc>
          <w:tcPr>
            <w:tcW w:w="15183" w:type="dxa"/>
            <w:tcBorders>
              <w:top w:val="nil"/>
              <w:left w:val="nil"/>
              <w:bottom w:val="nil"/>
              <w:right w:val="nil"/>
            </w:tcBorders>
            <w:shd w:val="clear" w:color="auto" w:fill="auto"/>
            <w:noWrap/>
            <w:vAlign w:val="bottom"/>
            <w:hideMark/>
          </w:tcPr>
          <w:p w:rsidR="00232D08" w:rsidRPr="001B2F90" w:rsidRDefault="00232D08" w:rsidP="000040E1">
            <w:pPr>
              <w:jc w:val="right"/>
              <w:rPr>
                <w:b/>
                <w:bCs/>
                <w:color w:val="000000"/>
                <w:sz w:val="22"/>
                <w:szCs w:val="22"/>
              </w:rPr>
            </w:pPr>
          </w:p>
        </w:tc>
      </w:tr>
    </w:tbl>
    <w:p w:rsidR="00836538" w:rsidRPr="00A02CBE" w:rsidRDefault="00A02CBE" w:rsidP="00A02CBE">
      <w:pPr>
        <w:jc w:val="center"/>
        <w:rPr>
          <w:b/>
          <w:sz w:val="22"/>
          <w:szCs w:val="22"/>
        </w:rPr>
      </w:pPr>
      <w:r w:rsidRPr="00A02CBE">
        <w:rPr>
          <w:i/>
          <w:sz w:val="22"/>
          <w:szCs w:val="22"/>
        </w:rPr>
        <w:t xml:space="preserve">     </w:t>
      </w:r>
      <w:r w:rsidRPr="00A02CBE">
        <w:rPr>
          <w:b/>
          <w:sz w:val="22"/>
          <w:szCs w:val="22"/>
        </w:rPr>
        <w:t>Сатып алынатын тауарлардың техникалық ерекшелігі</w:t>
      </w:r>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213"/>
        <w:gridCol w:w="9355"/>
        <w:gridCol w:w="1276"/>
        <w:gridCol w:w="803"/>
      </w:tblGrid>
      <w:tr w:rsidR="00A02CBE" w:rsidRPr="00A95AF6" w:rsidTr="00D27B58">
        <w:trPr>
          <w:jc w:val="center"/>
        </w:trPr>
        <w:tc>
          <w:tcPr>
            <w:tcW w:w="710" w:type="dxa"/>
            <w:shd w:val="clear" w:color="auto" w:fill="auto"/>
          </w:tcPr>
          <w:p w:rsidR="00A02CBE" w:rsidRPr="00A95AF6" w:rsidRDefault="00A02CBE" w:rsidP="00A02CBE">
            <w:pPr>
              <w:jc w:val="center"/>
              <w:rPr>
                <w:b/>
                <w:sz w:val="20"/>
                <w:szCs w:val="20"/>
              </w:rPr>
            </w:pPr>
            <w:r w:rsidRPr="00A95AF6">
              <w:rPr>
                <w:b/>
                <w:sz w:val="20"/>
                <w:szCs w:val="20"/>
              </w:rPr>
              <w:t>лот №</w:t>
            </w:r>
          </w:p>
        </w:tc>
        <w:tc>
          <w:tcPr>
            <w:tcW w:w="3213" w:type="dxa"/>
            <w:shd w:val="clear" w:color="auto" w:fill="auto"/>
          </w:tcPr>
          <w:p w:rsidR="00A02CBE" w:rsidRPr="00A95AF6" w:rsidRDefault="00A02CBE" w:rsidP="00A02CBE">
            <w:pPr>
              <w:jc w:val="center"/>
              <w:rPr>
                <w:b/>
                <w:sz w:val="20"/>
                <w:szCs w:val="20"/>
              </w:rPr>
            </w:pPr>
            <w:r w:rsidRPr="00A95AF6">
              <w:rPr>
                <w:b/>
                <w:sz w:val="20"/>
                <w:szCs w:val="20"/>
              </w:rPr>
              <w:t>Тауардың атауы</w:t>
            </w:r>
          </w:p>
        </w:tc>
        <w:tc>
          <w:tcPr>
            <w:tcW w:w="9355" w:type="dxa"/>
          </w:tcPr>
          <w:p w:rsidR="00A02CBE" w:rsidRPr="00A95AF6" w:rsidRDefault="00A02CBE" w:rsidP="00A02CBE">
            <w:pPr>
              <w:jc w:val="center"/>
              <w:rPr>
                <w:b/>
                <w:sz w:val="20"/>
                <w:szCs w:val="20"/>
              </w:rPr>
            </w:pPr>
            <w:r w:rsidRPr="00A95AF6">
              <w:rPr>
                <w:b/>
                <w:sz w:val="20"/>
                <w:szCs w:val="20"/>
              </w:rPr>
              <w:t>Сипаттамасы</w:t>
            </w:r>
          </w:p>
        </w:tc>
        <w:tc>
          <w:tcPr>
            <w:tcW w:w="1276" w:type="dxa"/>
            <w:shd w:val="clear" w:color="auto" w:fill="auto"/>
          </w:tcPr>
          <w:p w:rsidR="00A02CBE" w:rsidRPr="00A95AF6" w:rsidRDefault="00094AE5" w:rsidP="00A02CBE">
            <w:pPr>
              <w:jc w:val="center"/>
              <w:rPr>
                <w:b/>
                <w:sz w:val="20"/>
                <w:szCs w:val="20"/>
              </w:rPr>
            </w:pPr>
            <w:r w:rsidRPr="00A95AF6">
              <w:rPr>
                <w:b/>
                <w:sz w:val="20"/>
                <w:szCs w:val="20"/>
              </w:rPr>
              <w:t>өлшем бірлігі</w:t>
            </w:r>
          </w:p>
        </w:tc>
        <w:tc>
          <w:tcPr>
            <w:tcW w:w="803" w:type="dxa"/>
            <w:shd w:val="clear" w:color="auto" w:fill="auto"/>
          </w:tcPr>
          <w:p w:rsidR="00A02CBE" w:rsidRPr="00A95AF6" w:rsidRDefault="00A02CBE" w:rsidP="00A02CBE">
            <w:pPr>
              <w:jc w:val="center"/>
              <w:rPr>
                <w:b/>
                <w:sz w:val="20"/>
                <w:szCs w:val="20"/>
              </w:rPr>
            </w:pPr>
            <w:r w:rsidRPr="00A95AF6">
              <w:rPr>
                <w:b/>
                <w:sz w:val="20"/>
                <w:szCs w:val="20"/>
              </w:rPr>
              <w:t>саны</w:t>
            </w:r>
          </w:p>
        </w:tc>
      </w:tr>
      <w:tr w:rsidR="00C8794B" w:rsidRPr="00A95AF6" w:rsidTr="00D27B58">
        <w:trPr>
          <w:trHeight w:val="584"/>
          <w:jc w:val="center"/>
        </w:trPr>
        <w:tc>
          <w:tcPr>
            <w:tcW w:w="710" w:type="dxa"/>
            <w:shd w:val="clear" w:color="auto" w:fill="auto"/>
            <w:vAlign w:val="center"/>
          </w:tcPr>
          <w:p w:rsidR="00C8794B" w:rsidRPr="00A95AF6" w:rsidRDefault="00C8794B" w:rsidP="00EB6A77">
            <w:pPr>
              <w:ind w:left="-250" w:right="-107" w:firstLine="142"/>
              <w:jc w:val="center"/>
              <w:rPr>
                <w:sz w:val="20"/>
                <w:szCs w:val="20"/>
                <w:lang w:val="en-US"/>
              </w:rPr>
            </w:pPr>
            <w:r w:rsidRPr="00A95AF6">
              <w:rPr>
                <w:sz w:val="20"/>
                <w:szCs w:val="20"/>
                <w:lang w:val="en-US"/>
              </w:rPr>
              <w:t>1</w:t>
            </w:r>
          </w:p>
        </w:tc>
        <w:tc>
          <w:tcPr>
            <w:tcW w:w="3213" w:type="dxa"/>
            <w:shd w:val="clear" w:color="auto" w:fill="auto"/>
            <w:vAlign w:val="center"/>
          </w:tcPr>
          <w:p w:rsidR="00C8794B" w:rsidRPr="00A95AF6" w:rsidRDefault="00165F3E" w:rsidP="00D27B58">
            <w:pPr>
              <w:jc w:val="both"/>
              <w:rPr>
                <w:color w:val="000000"/>
                <w:sz w:val="20"/>
                <w:szCs w:val="20"/>
                <w:lang w:val="en-US"/>
              </w:rPr>
            </w:pPr>
            <w:r w:rsidRPr="00165F3E">
              <w:rPr>
                <w:color w:val="000000"/>
                <w:sz w:val="20"/>
                <w:szCs w:val="20"/>
                <w:lang w:val="en-US"/>
              </w:rPr>
              <w:t>ДНҚ/РНҚ залалсыздандыру ерітіндісі (500 мл бүріккіш)</w:t>
            </w:r>
          </w:p>
        </w:tc>
        <w:tc>
          <w:tcPr>
            <w:tcW w:w="9355" w:type="dxa"/>
          </w:tcPr>
          <w:p w:rsidR="00C14FEE" w:rsidRDefault="00C14FEE" w:rsidP="00E1205B">
            <w:pPr>
              <w:jc w:val="both"/>
              <w:rPr>
                <w:color w:val="000000"/>
                <w:sz w:val="20"/>
                <w:szCs w:val="20"/>
                <w:lang w:val="kk-KZ"/>
              </w:rPr>
            </w:pPr>
          </w:p>
          <w:p w:rsidR="00165F3E" w:rsidRDefault="00165F3E" w:rsidP="00E0029A">
            <w:pPr>
              <w:jc w:val="both"/>
              <w:rPr>
                <w:color w:val="000000"/>
                <w:sz w:val="20"/>
                <w:szCs w:val="20"/>
                <w:lang w:val="kk-KZ"/>
              </w:rPr>
            </w:pPr>
            <w:r w:rsidRPr="00165F3E">
              <w:rPr>
                <w:color w:val="000000"/>
                <w:sz w:val="20"/>
                <w:szCs w:val="20"/>
                <w:lang w:val="kk-KZ"/>
              </w:rPr>
              <w:t>ДНҚ/РНҚ залалсыздандыру ерітіндісі (500 мл, бүріккіш). ПТР реакциясын орнатпас бұрын бетінен ДНҚ, РНҚ, ДНҚ және РНҚ-ны кетіруге арналған қолдануға дайын ерітінді. ДНҚ / РНҚ қолданғаннан кейін бірнеше секунд ішінде жойылады. Ерітіндіде беттік белсенді зат және сілтілі емес және канцерогенді емес агент бар. Ерітінді ПТР шкафтары мен ламинарларында, зертханалық құрылғыларда, тамшуырларда қолдануға арналған. Ерітінді таза жеңіл немесе түсті металдарды (мысалы, алюминий, мыс, қорғасын, никель, қалайы, титан, мырыш және т.б.) қоспағанда, көптеген беттерден ампликонды, плазмидті немесе геномдық НК-ны кетіруде тиімді. Ыңғайлы және пайдалануға дайын: ерітінді қолайлы беттерден ДНҚ мен РНҚ-ны кетіру үшін пайдалануға дайын. Жылдам және оңай залалсыздандыру; ПТР талдауына дейін де, одан кейін де ерітіндіні пайдалану таза жұмыс аймағын сақтаудың жылдам, оңай және тамаша тәсілі болып табылады және осылайша уақыт пен шығындарды үнемдейді.</w:t>
            </w:r>
          </w:p>
          <w:p w:rsidR="00094AE5" w:rsidRPr="00E1205B" w:rsidRDefault="00094AE5" w:rsidP="00E0029A">
            <w:pPr>
              <w:jc w:val="both"/>
              <w:rPr>
                <w:color w:val="000000"/>
                <w:sz w:val="20"/>
                <w:szCs w:val="20"/>
                <w:lang w:val="kk-KZ"/>
              </w:rPr>
            </w:pPr>
            <w:r w:rsidRPr="00E1205B">
              <w:rPr>
                <w:color w:val="000000"/>
                <w:sz w:val="20"/>
                <w:szCs w:val="20"/>
                <w:lang w:val="kk-KZ"/>
              </w:rPr>
              <w:t xml:space="preserve">Тауарды жеткізу Тапсырыс берушінің өтініші бойынша </w:t>
            </w:r>
            <w:r w:rsidR="00E0029A">
              <w:rPr>
                <w:color w:val="000000"/>
                <w:sz w:val="20"/>
                <w:szCs w:val="20"/>
                <w:lang w:val="kk-KZ"/>
              </w:rPr>
              <w:t>90</w:t>
            </w:r>
            <w:r w:rsidRPr="00E1205B">
              <w:rPr>
                <w:color w:val="000000"/>
                <w:sz w:val="20"/>
                <w:szCs w:val="20"/>
                <w:lang w:val="kk-KZ"/>
              </w:rPr>
              <w:t xml:space="preserve"> күнтізбелік күн ішінде жүзеге асырылады</w:t>
            </w:r>
            <w:r w:rsidR="003D4FC9" w:rsidRPr="00E1205B">
              <w:rPr>
                <w:color w:val="000000"/>
                <w:sz w:val="20"/>
                <w:szCs w:val="20"/>
                <w:lang w:val="kk-KZ"/>
              </w:rPr>
              <w:t>.</w:t>
            </w:r>
          </w:p>
        </w:tc>
        <w:tc>
          <w:tcPr>
            <w:tcW w:w="1276" w:type="dxa"/>
            <w:shd w:val="clear" w:color="auto" w:fill="auto"/>
            <w:vAlign w:val="center"/>
          </w:tcPr>
          <w:p w:rsidR="00C8794B" w:rsidRPr="00A95AF6" w:rsidRDefault="00165F3E">
            <w:pPr>
              <w:jc w:val="center"/>
              <w:rPr>
                <w:color w:val="000000"/>
                <w:sz w:val="20"/>
                <w:szCs w:val="20"/>
              </w:rPr>
            </w:pPr>
            <w:r w:rsidRPr="00165F3E">
              <w:rPr>
                <w:color w:val="000000"/>
                <w:sz w:val="20"/>
                <w:szCs w:val="20"/>
              </w:rPr>
              <w:t>бөтелке</w:t>
            </w:r>
          </w:p>
        </w:tc>
        <w:tc>
          <w:tcPr>
            <w:tcW w:w="803" w:type="dxa"/>
            <w:shd w:val="clear" w:color="auto" w:fill="auto"/>
            <w:vAlign w:val="center"/>
          </w:tcPr>
          <w:p w:rsidR="00C8794B" w:rsidRPr="00A95AF6" w:rsidRDefault="007B672F">
            <w:pPr>
              <w:jc w:val="center"/>
              <w:rPr>
                <w:color w:val="000000"/>
                <w:sz w:val="20"/>
                <w:szCs w:val="20"/>
              </w:rPr>
            </w:pPr>
            <w:r>
              <w:rPr>
                <w:color w:val="000000"/>
                <w:sz w:val="20"/>
                <w:szCs w:val="20"/>
              </w:rPr>
              <w:t>2</w:t>
            </w:r>
          </w:p>
        </w:tc>
      </w:tr>
    </w:tbl>
    <w:p w:rsidR="00107C21" w:rsidRDefault="00107C21" w:rsidP="00107C21">
      <w:pPr>
        <w:jc w:val="both"/>
        <w:rPr>
          <w:b/>
          <w:sz w:val="20"/>
          <w:szCs w:val="20"/>
        </w:rPr>
      </w:pPr>
    </w:p>
    <w:p w:rsidR="00107C21" w:rsidRDefault="00107C21" w:rsidP="00107C21">
      <w:pPr>
        <w:jc w:val="both"/>
        <w:rPr>
          <w:b/>
          <w:sz w:val="20"/>
          <w:szCs w:val="20"/>
        </w:rPr>
      </w:pPr>
      <w:r w:rsidRPr="00107C21">
        <w:rPr>
          <w:b/>
          <w:sz w:val="20"/>
          <w:szCs w:val="20"/>
        </w:rPr>
        <w:t>Қазақстан Республикасы Денсаулық сақтау министрінің 2023 жылғы 07 шілдедегі №110 бұйрығының 11 тармағы:</w:t>
      </w:r>
    </w:p>
    <w:p w:rsidR="00107C21" w:rsidRPr="00107C21" w:rsidRDefault="00107C21" w:rsidP="00107C21">
      <w:pPr>
        <w:ind w:firstLine="851"/>
        <w:jc w:val="both"/>
        <w:rPr>
          <w:b/>
          <w:sz w:val="20"/>
          <w:szCs w:val="20"/>
        </w:rPr>
      </w:pPr>
      <w:r w:rsidRPr="00107C21">
        <w:rPr>
          <w:color w:val="000000"/>
          <w:sz w:val="20"/>
          <w:szCs w:val="20"/>
          <w:lang w:val="kk-KZ"/>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107C21" w:rsidRPr="00107C21" w:rsidRDefault="00107C21" w:rsidP="00107C21">
      <w:pPr>
        <w:tabs>
          <w:tab w:val="left" w:pos="142"/>
        </w:tabs>
        <w:jc w:val="both"/>
        <w:rPr>
          <w:color w:val="000000"/>
          <w:sz w:val="20"/>
          <w:szCs w:val="20"/>
          <w:lang w:val="kk-KZ"/>
        </w:rPr>
      </w:pPr>
      <w:r w:rsidRPr="00107C21">
        <w:rPr>
          <w:sz w:val="20"/>
          <w:szCs w:val="20"/>
        </w:rPr>
        <w:t xml:space="preserve">     </w:t>
      </w:r>
      <w:r w:rsidRPr="00107C21">
        <w:rPr>
          <w:sz w:val="20"/>
          <w:szCs w:val="20"/>
        </w:rPr>
        <w:tab/>
      </w:r>
      <w:r w:rsidRPr="00107C21">
        <w:rPr>
          <w:color w:val="000000"/>
          <w:sz w:val="20"/>
          <w:szCs w:val="20"/>
          <w:lang w:val="kk-KZ"/>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2) сипаттаманың немесе техникалық ерекшеліктің сатып алуға арналған хабарландыру немесе шақыру шарттарына сәйкестігі;</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107C21" w:rsidRPr="00107C21" w:rsidRDefault="00107C21" w:rsidP="00107C21">
      <w:pPr>
        <w:tabs>
          <w:tab w:val="left" w:pos="142"/>
        </w:tabs>
        <w:ind w:firstLine="709"/>
        <w:jc w:val="both"/>
        <w:rPr>
          <w:sz w:val="20"/>
          <w:szCs w:val="20"/>
          <w:lang w:val="kk-KZ"/>
        </w:rPr>
      </w:pPr>
      <w:r w:rsidRPr="00107C21">
        <w:rPr>
          <w:color w:val="000000"/>
          <w:sz w:val="20"/>
          <w:szCs w:val="20"/>
          <w:lang w:val="kk-KZ"/>
        </w:rPr>
        <w:t xml:space="preserve">6) дәрілік заттар мен медициналық бұйымдардың Тапсырыс берушіге жеткізу күніне жарамдылық мерзімі мыналарды құрайды: </w:t>
      </w:r>
      <w:r w:rsidRPr="00107C21">
        <w:rPr>
          <w:sz w:val="20"/>
          <w:szCs w:val="20"/>
          <w:lang w:val="kk-KZ"/>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107C21" w:rsidRPr="00107C21" w:rsidRDefault="00107C21" w:rsidP="00107C21">
      <w:pPr>
        <w:tabs>
          <w:tab w:val="left" w:pos="142"/>
        </w:tabs>
        <w:ind w:firstLine="709"/>
        <w:jc w:val="both"/>
        <w:rPr>
          <w:color w:val="000000"/>
          <w:sz w:val="20"/>
          <w:szCs w:val="20"/>
          <w:lang w:val="kk-KZ"/>
        </w:rPr>
      </w:pPr>
      <w:r w:rsidRPr="00107C21">
        <w:rPr>
          <w:sz w:val="20"/>
          <w:szCs w:val="20"/>
          <w:lang w:val="kk-KZ"/>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563893" w:rsidRPr="00107C21" w:rsidRDefault="00563893" w:rsidP="00291A4F">
      <w:pPr>
        <w:rPr>
          <w:rFonts w:eastAsia="Calibri"/>
          <w:b/>
          <w:sz w:val="20"/>
          <w:szCs w:val="20"/>
          <w:lang w:val="kk-KZ" w:eastAsia="en-US"/>
        </w:rPr>
      </w:pPr>
      <w:r w:rsidRPr="00107C21">
        <w:rPr>
          <w:rFonts w:eastAsia="Calibri"/>
          <w:b/>
          <w:sz w:val="20"/>
          <w:szCs w:val="20"/>
          <w:lang w:val="kk-KZ" w:eastAsia="en-US"/>
        </w:rPr>
        <w:t xml:space="preserve">                               </w:t>
      </w:r>
    </w:p>
    <w:p w:rsidR="006915A1" w:rsidRPr="00107C21" w:rsidRDefault="006915A1" w:rsidP="006915A1">
      <w:pPr>
        <w:rPr>
          <w:rFonts w:eastAsia="Calibri"/>
          <w:b/>
          <w:sz w:val="21"/>
          <w:szCs w:val="21"/>
          <w:lang w:val="kk-KZ" w:eastAsia="en-US"/>
        </w:rPr>
      </w:pPr>
    </w:p>
    <w:p w:rsidR="0056669A" w:rsidRPr="00107C21" w:rsidRDefault="0056669A" w:rsidP="0056669A">
      <w:pPr>
        <w:jc w:val="center"/>
        <w:rPr>
          <w:rFonts w:eastAsia="Calibri"/>
          <w:b/>
          <w:sz w:val="21"/>
          <w:szCs w:val="21"/>
          <w:lang w:val="kk-KZ" w:eastAsia="en-US"/>
        </w:rPr>
      </w:pPr>
      <w:r w:rsidRPr="00107C21">
        <w:rPr>
          <w:rFonts w:eastAsia="Calibri"/>
          <w:b/>
          <w:sz w:val="21"/>
          <w:szCs w:val="21"/>
          <w:lang w:val="kk-KZ" w:eastAsia="en-US"/>
        </w:rPr>
        <w:t>Зертхана меңгерушісі __________________________ Дигтяр Ю.Ю.</w:t>
      </w:r>
    </w:p>
    <w:p w:rsidR="006915A1" w:rsidRPr="00107C21" w:rsidRDefault="006915A1" w:rsidP="006915A1">
      <w:pPr>
        <w:rPr>
          <w:rFonts w:eastAsia="Calibri"/>
          <w:b/>
          <w:sz w:val="21"/>
          <w:szCs w:val="21"/>
          <w:lang w:val="kk-KZ" w:eastAsia="en-US"/>
        </w:rPr>
      </w:pPr>
    </w:p>
    <w:tbl>
      <w:tblPr>
        <w:tblW w:w="15417" w:type="dxa"/>
        <w:tblLook w:val="04A0" w:firstRow="1" w:lastRow="0" w:firstColumn="1" w:lastColumn="0" w:noHBand="0" w:noVBand="1"/>
      </w:tblPr>
      <w:tblGrid>
        <w:gridCol w:w="15417"/>
      </w:tblGrid>
      <w:tr w:rsidR="00A824E1" w:rsidRPr="00C416BC" w:rsidTr="000040E1">
        <w:trPr>
          <w:trHeight w:val="315"/>
        </w:trPr>
        <w:tc>
          <w:tcPr>
            <w:tcW w:w="15417" w:type="dxa"/>
            <w:shd w:val="clear" w:color="auto" w:fill="auto"/>
            <w:noWrap/>
            <w:vAlign w:val="bottom"/>
            <w:hideMark/>
          </w:tcPr>
          <w:p w:rsidR="00A824E1" w:rsidRPr="00C416BC" w:rsidRDefault="00A824E1" w:rsidP="000040E1">
            <w:pPr>
              <w:jc w:val="right"/>
              <w:rPr>
                <w:b/>
                <w:bCs/>
                <w:color w:val="000000"/>
                <w:sz w:val="22"/>
                <w:szCs w:val="22"/>
              </w:rPr>
            </w:pPr>
            <w:r w:rsidRPr="00C416BC">
              <w:rPr>
                <w:b/>
                <w:bCs/>
                <w:color w:val="000000"/>
                <w:sz w:val="22"/>
                <w:szCs w:val="22"/>
              </w:rPr>
              <w:lastRenderedPageBreak/>
              <w:t>Приложение №</w:t>
            </w:r>
            <w:r w:rsidRPr="00B21AFF">
              <w:rPr>
                <w:b/>
                <w:bCs/>
                <w:color w:val="000000"/>
                <w:sz w:val="22"/>
                <w:szCs w:val="22"/>
              </w:rPr>
              <w:t>2</w:t>
            </w:r>
            <w:r w:rsidRPr="00C416BC">
              <w:rPr>
                <w:b/>
                <w:bCs/>
                <w:color w:val="000000"/>
                <w:sz w:val="22"/>
                <w:szCs w:val="22"/>
              </w:rPr>
              <w:t xml:space="preserve"> </w:t>
            </w:r>
          </w:p>
        </w:tc>
      </w:tr>
    </w:tbl>
    <w:p w:rsidR="00A02CBE" w:rsidRDefault="00A02CBE" w:rsidP="00A02CBE">
      <w:pPr>
        <w:jc w:val="center"/>
        <w:rPr>
          <w:b/>
          <w:sz w:val="22"/>
          <w:szCs w:val="22"/>
        </w:rPr>
      </w:pPr>
      <w:r>
        <w:rPr>
          <w:b/>
          <w:sz w:val="22"/>
          <w:szCs w:val="22"/>
        </w:rPr>
        <w:t xml:space="preserve">     Техническая спецификация</w:t>
      </w:r>
      <w:r w:rsidRPr="00E7468C">
        <w:rPr>
          <w:b/>
          <w:sz w:val="22"/>
          <w:szCs w:val="22"/>
        </w:rPr>
        <w:t xml:space="preserve"> закупаемых товаров</w:t>
      </w:r>
    </w:p>
    <w:p w:rsidR="00A02CBE" w:rsidRPr="000866B5" w:rsidRDefault="00A02CBE" w:rsidP="00A02CBE">
      <w:pPr>
        <w:jc w:val="center"/>
        <w:rPr>
          <w:b/>
          <w:sz w:val="22"/>
          <w:szCs w:val="22"/>
        </w:rPr>
      </w:pPr>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213"/>
        <w:gridCol w:w="9213"/>
        <w:gridCol w:w="993"/>
        <w:gridCol w:w="1228"/>
      </w:tblGrid>
      <w:tr w:rsidR="00A02CBE" w:rsidRPr="00C14FEE" w:rsidTr="008C058C">
        <w:trPr>
          <w:jc w:val="center"/>
        </w:trPr>
        <w:tc>
          <w:tcPr>
            <w:tcW w:w="710" w:type="dxa"/>
            <w:shd w:val="clear" w:color="auto" w:fill="auto"/>
            <w:vAlign w:val="center"/>
          </w:tcPr>
          <w:p w:rsidR="00A02CBE" w:rsidRPr="00C14FEE" w:rsidRDefault="00A02CBE" w:rsidP="006D63D9">
            <w:pPr>
              <w:ind w:left="-250" w:right="-107" w:firstLine="142"/>
              <w:jc w:val="center"/>
              <w:rPr>
                <w:b/>
                <w:sz w:val="20"/>
                <w:szCs w:val="20"/>
                <w:lang w:val="kk-KZ"/>
              </w:rPr>
            </w:pPr>
            <w:r w:rsidRPr="00C14FEE">
              <w:rPr>
                <w:b/>
                <w:sz w:val="20"/>
                <w:szCs w:val="20"/>
              </w:rPr>
              <w:t>№ лота</w:t>
            </w:r>
          </w:p>
        </w:tc>
        <w:tc>
          <w:tcPr>
            <w:tcW w:w="3213" w:type="dxa"/>
            <w:shd w:val="clear" w:color="auto" w:fill="auto"/>
            <w:vAlign w:val="center"/>
          </w:tcPr>
          <w:p w:rsidR="00A02CBE" w:rsidRPr="00C14FEE" w:rsidRDefault="00A02CBE" w:rsidP="006D63D9">
            <w:pPr>
              <w:ind w:left="-109" w:right="-107"/>
              <w:jc w:val="center"/>
              <w:rPr>
                <w:b/>
                <w:sz w:val="20"/>
                <w:szCs w:val="20"/>
              </w:rPr>
            </w:pPr>
            <w:r w:rsidRPr="00C14FEE">
              <w:rPr>
                <w:b/>
                <w:sz w:val="20"/>
                <w:szCs w:val="20"/>
              </w:rPr>
              <w:t>Наименование товара</w:t>
            </w:r>
          </w:p>
        </w:tc>
        <w:tc>
          <w:tcPr>
            <w:tcW w:w="9213" w:type="dxa"/>
            <w:vAlign w:val="center"/>
          </w:tcPr>
          <w:p w:rsidR="00A02CBE" w:rsidRPr="00C14FEE" w:rsidRDefault="00A02CBE" w:rsidP="006D63D9">
            <w:pPr>
              <w:ind w:left="-534" w:right="-107" w:firstLine="142"/>
              <w:jc w:val="center"/>
              <w:rPr>
                <w:b/>
                <w:sz w:val="20"/>
                <w:szCs w:val="20"/>
              </w:rPr>
            </w:pPr>
            <w:r w:rsidRPr="00C14FEE">
              <w:rPr>
                <w:b/>
                <w:sz w:val="20"/>
                <w:szCs w:val="20"/>
              </w:rPr>
              <w:t>Характеристика</w:t>
            </w:r>
          </w:p>
        </w:tc>
        <w:tc>
          <w:tcPr>
            <w:tcW w:w="993" w:type="dxa"/>
            <w:shd w:val="clear" w:color="auto" w:fill="auto"/>
            <w:vAlign w:val="center"/>
          </w:tcPr>
          <w:p w:rsidR="00A02CBE" w:rsidRPr="00C14FEE" w:rsidRDefault="00094AE5" w:rsidP="006D63D9">
            <w:pPr>
              <w:ind w:left="-250" w:right="-107" w:firstLine="142"/>
              <w:jc w:val="center"/>
              <w:rPr>
                <w:b/>
                <w:sz w:val="20"/>
                <w:szCs w:val="20"/>
              </w:rPr>
            </w:pPr>
            <w:r w:rsidRPr="00C14FEE">
              <w:rPr>
                <w:b/>
                <w:sz w:val="20"/>
                <w:szCs w:val="20"/>
              </w:rPr>
              <w:t>Ед.изм</w:t>
            </w:r>
            <w:r w:rsidR="00A02CBE" w:rsidRPr="00C14FEE">
              <w:rPr>
                <w:b/>
                <w:sz w:val="20"/>
                <w:szCs w:val="20"/>
              </w:rPr>
              <w:t xml:space="preserve"> </w:t>
            </w:r>
          </w:p>
        </w:tc>
        <w:tc>
          <w:tcPr>
            <w:tcW w:w="1228" w:type="dxa"/>
            <w:shd w:val="clear" w:color="auto" w:fill="auto"/>
            <w:vAlign w:val="center"/>
          </w:tcPr>
          <w:p w:rsidR="00A02CBE" w:rsidRPr="00C14FEE" w:rsidRDefault="00A02CBE" w:rsidP="00DA05E1">
            <w:pPr>
              <w:ind w:left="-392" w:right="-107" w:firstLine="142"/>
              <w:jc w:val="center"/>
              <w:rPr>
                <w:b/>
                <w:sz w:val="20"/>
                <w:szCs w:val="20"/>
              </w:rPr>
            </w:pPr>
            <w:r w:rsidRPr="00C14FEE">
              <w:rPr>
                <w:b/>
                <w:sz w:val="20"/>
                <w:szCs w:val="20"/>
              </w:rPr>
              <w:t>Кол-во</w:t>
            </w:r>
          </w:p>
        </w:tc>
      </w:tr>
      <w:tr w:rsidR="00C8794B" w:rsidRPr="00C14FEE" w:rsidTr="008C058C">
        <w:trPr>
          <w:trHeight w:val="584"/>
          <w:jc w:val="center"/>
        </w:trPr>
        <w:tc>
          <w:tcPr>
            <w:tcW w:w="710" w:type="dxa"/>
            <w:shd w:val="clear" w:color="auto" w:fill="auto"/>
            <w:vAlign w:val="center"/>
          </w:tcPr>
          <w:p w:rsidR="00C8794B" w:rsidRPr="00317AAC" w:rsidRDefault="00C8794B" w:rsidP="00EB6A77">
            <w:pPr>
              <w:ind w:left="-250" w:right="-107" w:firstLine="142"/>
              <w:jc w:val="center"/>
              <w:rPr>
                <w:sz w:val="20"/>
                <w:szCs w:val="20"/>
              </w:rPr>
            </w:pPr>
            <w:r w:rsidRPr="00317AAC">
              <w:rPr>
                <w:sz w:val="20"/>
                <w:szCs w:val="20"/>
              </w:rPr>
              <w:t>1</w:t>
            </w:r>
          </w:p>
        </w:tc>
        <w:tc>
          <w:tcPr>
            <w:tcW w:w="3213" w:type="dxa"/>
            <w:shd w:val="clear" w:color="auto" w:fill="auto"/>
            <w:vAlign w:val="center"/>
          </w:tcPr>
          <w:p w:rsidR="00C8794B" w:rsidRPr="00317AAC" w:rsidRDefault="006E7ED4" w:rsidP="00317AAC">
            <w:pPr>
              <w:jc w:val="both"/>
              <w:rPr>
                <w:color w:val="000000"/>
                <w:sz w:val="20"/>
                <w:szCs w:val="20"/>
              </w:rPr>
            </w:pPr>
            <w:r w:rsidRPr="006E7ED4">
              <w:rPr>
                <w:color w:val="000000"/>
                <w:sz w:val="20"/>
                <w:szCs w:val="20"/>
              </w:rPr>
              <w:t>Раствор для дезактивации ДНК/РНК (500 мл распылитель)</w:t>
            </w:r>
          </w:p>
        </w:tc>
        <w:tc>
          <w:tcPr>
            <w:tcW w:w="9213" w:type="dxa"/>
            <w:vAlign w:val="center"/>
          </w:tcPr>
          <w:p w:rsidR="00D27B58" w:rsidRDefault="006E7ED4" w:rsidP="00317AAC">
            <w:pPr>
              <w:jc w:val="both"/>
              <w:rPr>
                <w:sz w:val="20"/>
                <w:szCs w:val="20"/>
              </w:rPr>
            </w:pPr>
            <w:r w:rsidRPr="006E7ED4">
              <w:rPr>
                <w:sz w:val="20"/>
                <w:szCs w:val="20"/>
              </w:rPr>
              <w:t>Раствор для дезактивации ДНК/РНК (500 мл,  распылитель) Готовый к использованию раствор для удаления ДНК, РНК, ДНКазы и РНКазы с поверхности перед постановкой ПЦР реакции. ДНК / РНК удаляют в течение нескольких секунд после использования. Раствор содержит поверхностно-активное вещество и нещелочный и неканцерогенный агент. Раствор предназначен для использования в шкафах и ламинарах ПЦР, лабораторных устройствах, пипеторах. Растовр эффективен при удалении ампликона, плазмидной или геномной НК с большинства поверхностей, за исключением чистых легких или цветных металлов (например, алюминия, меди, свинца, никеля, олова, титана, цинка и т. д.). Удобный и готовый к использованию: раствор готов к использованию для удаления ДНК и РНК с подходящих поверхностей. Быстрая и легкая дезактивация; Использование раствора как до, так и после ПЦР-анализа является быстрым, легким и идеальным способом для поддержания чистой рабочей зоны и тем самым экономя время и затраты.</w:t>
            </w:r>
          </w:p>
          <w:p w:rsidR="00A95AF6" w:rsidRPr="00317AAC" w:rsidRDefault="00124014" w:rsidP="00D27B58">
            <w:pPr>
              <w:jc w:val="both"/>
              <w:rPr>
                <w:sz w:val="20"/>
                <w:szCs w:val="20"/>
              </w:rPr>
            </w:pPr>
            <w:r w:rsidRPr="00317AAC">
              <w:rPr>
                <w:color w:val="000000"/>
                <w:sz w:val="20"/>
                <w:szCs w:val="20"/>
              </w:rPr>
              <w:t xml:space="preserve">Поставка товара осуществляется по заявкам Заказчика в течение </w:t>
            </w:r>
            <w:r w:rsidR="00476C30">
              <w:rPr>
                <w:color w:val="000000"/>
                <w:sz w:val="20"/>
                <w:szCs w:val="20"/>
              </w:rPr>
              <w:t>90</w:t>
            </w:r>
            <w:r w:rsidRPr="00317AAC">
              <w:rPr>
                <w:color w:val="000000"/>
                <w:sz w:val="20"/>
                <w:szCs w:val="20"/>
              </w:rPr>
              <w:t xml:space="preserve"> календарных дней</w:t>
            </w:r>
            <w:r w:rsidR="003D4FC9" w:rsidRPr="00317AAC">
              <w:rPr>
                <w:color w:val="000000"/>
                <w:sz w:val="20"/>
                <w:szCs w:val="20"/>
              </w:rPr>
              <w:t>.</w:t>
            </w:r>
          </w:p>
          <w:p w:rsidR="00094AE5" w:rsidRPr="00317AAC" w:rsidRDefault="00094AE5" w:rsidP="00317AAC">
            <w:pPr>
              <w:jc w:val="both"/>
              <w:rPr>
                <w:color w:val="000000"/>
                <w:sz w:val="20"/>
                <w:szCs w:val="20"/>
              </w:rPr>
            </w:pPr>
          </w:p>
        </w:tc>
        <w:tc>
          <w:tcPr>
            <w:tcW w:w="993" w:type="dxa"/>
            <w:shd w:val="clear" w:color="auto" w:fill="auto"/>
            <w:vAlign w:val="center"/>
          </w:tcPr>
          <w:p w:rsidR="00C8794B" w:rsidRPr="00C14FEE" w:rsidRDefault="006E2C16">
            <w:pPr>
              <w:jc w:val="center"/>
              <w:rPr>
                <w:color w:val="000000"/>
                <w:sz w:val="20"/>
                <w:szCs w:val="20"/>
              </w:rPr>
            </w:pPr>
            <w:r>
              <w:rPr>
                <w:color w:val="000000"/>
                <w:sz w:val="20"/>
                <w:szCs w:val="20"/>
              </w:rPr>
              <w:t>бутылка</w:t>
            </w:r>
          </w:p>
        </w:tc>
        <w:tc>
          <w:tcPr>
            <w:tcW w:w="1228" w:type="dxa"/>
            <w:shd w:val="clear" w:color="auto" w:fill="auto"/>
            <w:vAlign w:val="center"/>
          </w:tcPr>
          <w:p w:rsidR="00C8794B" w:rsidRPr="00C14FEE" w:rsidRDefault="006E2C16" w:rsidP="00DA05E1">
            <w:pPr>
              <w:jc w:val="center"/>
              <w:rPr>
                <w:color w:val="000000"/>
                <w:sz w:val="20"/>
                <w:szCs w:val="20"/>
                <w:lang w:val="kk-KZ"/>
              </w:rPr>
            </w:pPr>
            <w:r>
              <w:rPr>
                <w:color w:val="000000"/>
                <w:sz w:val="20"/>
                <w:szCs w:val="20"/>
                <w:lang w:val="kk-KZ"/>
              </w:rPr>
              <w:t>2</w:t>
            </w:r>
          </w:p>
        </w:tc>
      </w:tr>
    </w:tbl>
    <w:p w:rsidR="00107C21" w:rsidRDefault="00107C21" w:rsidP="00107C21">
      <w:pPr>
        <w:rPr>
          <w:b/>
          <w:sz w:val="20"/>
          <w:szCs w:val="20"/>
        </w:rPr>
      </w:pPr>
    </w:p>
    <w:p w:rsidR="00107C21" w:rsidRPr="00107C21" w:rsidRDefault="0005178F" w:rsidP="00107C21">
      <w:pPr>
        <w:rPr>
          <w:b/>
          <w:sz w:val="20"/>
          <w:szCs w:val="20"/>
        </w:rPr>
      </w:pPr>
      <w:r>
        <w:rPr>
          <w:b/>
          <w:sz w:val="20"/>
          <w:szCs w:val="20"/>
        </w:rPr>
        <w:t>ц</w:t>
      </w:r>
      <w:bookmarkStart w:id="0" w:name="_GoBack"/>
      <w:bookmarkEnd w:id="0"/>
      <w:r w:rsidR="00107C21" w:rsidRPr="00107C21">
        <w:rPr>
          <w:b/>
          <w:sz w:val="20"/>
          <w:szCs w:val="20"/>
        </w:rPr>
        <w:t xml:space="preserve">Пункт 11 </w:t>
      </w:r>
      <w:r w:rsidR="00107C21" w:rsidRPr="00107C21">
        <w:rPr>
          <w:b/>
          <w:color w:val="000000"/>
          <w:sz w:val="20"/>
          <w:szCs w:val="20"/>
        </w:rPr>
        <w:t>Приказа Министра здравоохранения Республики Казахстан от 7 июня 2023 года № 110</w:t>
      </w:r>
      <w:r w:rsidR="00107C21" w:rsidRPr="00107C21">
        <w:rPr>
          <w:b/>
          <w:sz w:val="20"/>
          <w:szCs w:val="20"/>
        </w:rPr>
        <w:t>:</w:t>
      </w:r>
    </w:p>
    <w:p w:rsidR="00107C21" w:rsidRPr="00107C21" w:rsidRDefault="00107C21" w:rsidP="00107C21">
      <w:pPr>
        <w:jc w:val="both"/>
        <w:rPr>
          <w:sz w:val="20"/>
          <w:szCs w:val="20"/>
        </w:rPr>
      </w:pPr>
      <w:r w:rsidRPr="00107C21">
        <w:rPr>
          <w:sz w:val="20"/>
          <w:szCs w:val="20"/>
        </w:rPr>
        <w:t xml:space="preserve">     </w:t>
      </w:r>
      <w:r w:rsidRPr="00107C21">
        <w:rPr>
          <w:sz w:val="20"/>
          <w:szCs w:val="20"/>
        </w:rPr>
        <w:tab/>
      </w:r>
      <w:r w:rsidRPr="00107C21">
        <w:rPr>
          <w:color w:val="000000"/>
          <w:sz w:val="20"/>
          <w:szCs w:val="20"/>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107C21" w:rsidRPr="00107C21" w:rsidRDefault="00107C21" w:rsidP="00107C21">
      <w:pPr>
        <w:jc w:val="both"/>
        <w:rPr>
          <w:sz w:val="20"/>
          <w:szCs w:val="20"/>
        </w:rPr>
      </w:pPr>
      <w:bookmarkStart w:id="1" w:name="z131"/>
      <w:r w:rsidRPr="00107C21">
        <w:rPr>
          <w:color w:val="000000"/>
          <w:sz w:val="20"/>
          <w:szCs w:val="20"/>
        </w:rPr>
        <w:t xml:space="preserve">       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107C21" w:rsidRPr="00107C21" w:rsidRDefault="00107C21" w:rsidP="00107C21">
      <w:pPr>
        <w:jc w:val="both"/>
        <w:rPr>
          <w:sz w:val="20"/>
          <w:szCs w:val="20"/>
        </w:rPr>
      </w:pPr>
      <w:bookmarkStart w:id="2" w:name="z132"/>
      <w:bookmarkEnd w:id="1"/>
      <w:r w:rsidRPr="00107C21">
        <w:rPr>
          <w:color w:val="000000"/>
          <w:sz w:val="20"/>
          <w:szCs w:val="20"/>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107C21" w:rsidRPr="00107C21" w:rsidRDefault="00107C21" w:rsidP="00107C21">
      <w:pPr>
        <w:jc w:val="both"/>
        <w:rPr>
          <w:sz w:val="20"/>
          <w:szCs w:val="20"/>
        </w:rPr>
      </w:pPr>
      <w:bookmarkStart w:id="3" w:name="z133"/>
      <w:bookmarkEnd w:id="2"/>
      <w:r w:rsidRPr="00107C21">
        <w:rPr>
          <w:color w:val="000000"/>
          <w:sz w:val="20"/>
          <w:szCs w:val="20"/>
        </w:rPr>
        <w:t>      2) соответствие характеристики или технической спецификации условиям объявления или приглашения на закуп.</w:t>
      </w:r>
    </w:p>
    <w:p w:rsidR="00107C21" w:rsidRPr="00107C21" w:rsidRDefault="00107C21" w:rsidP="00107C21">
      <w:pPr>
        <w:jc w:val="both"/>
        <w:rPr>
          <w:sz w:val="20"/>
          <w:szCs w:val="20"/>
        </w:rPr>
      </w:pPr>
      <w:bookmarkStart w:id="4" w:name="z134"/>
      <w:bookmarkEnd w:id="3"/>
      <w:r w:rsidRPr="00107C21">
        <w:rPr>
          <w:color w:val="000000"/>
          <w:sz w:val="20"/>
          <w:szCs w:val="20"/>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107C21" w:rsidRPr="00107C21" w:rsidRDefault="00107C21" w:rsidP="00107C21">
      <w:pPr>
        <w:jc w:val="both"/>
        <w:rPr>
          <w:sz w:val="20"/>
          <w:szCs w:val="20"/>
        </w:rPr>
      </w:pPr>
      <w:bookmarkStart w:id="5" w:name="z135"/>
      <w:bookmarkEnd w:id="4"/>
      <w:r w:rsidRPr="00107C21">
        <w:rPr>
          <w:color w:val="000000"/>
          <w:sz w:val="20"/>
          <w:szCs w:val="20"/>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107C21" w:rsidRPr="00107C21" w:rsidRDefault="00107C21" w:rsidP="00107C21">
      <w:pPr>
        <w:jc w:val="both"/>
        <w:rPr>
          <w:sz w:val="20"/>
          <w:szCs w:val="20"/>
        </w:rPr>
      </w:pPr>
      <w:bookmarkStart w:id="6" w:name="z136"/>
      <w:bookmarkEnd w:id="5"/>
      <w:r w:rsidRPr="00107C21">
        <w:rPr>
          <w:color w:val="000000"/>
          <w:sz w:val="20"/>
          <w:szCs w:val="20"/>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107C21" w:rsidRPr="00107C21" w:rsidRDefault="00107C21" w:rsidP="00107C21">
      <w:pPr>
        <w:jc w:val="both"/>
        <w:rPr>
          <w:sz w:val="20"/>
          <w:szCs w:val="20"/>
        </w:rPr>
      </w:pPr>
      <w:bookmarkStart w:id="7" w:name="z137"/>
      <w:bookmarkEnd w:id="6"/>
      <w:r w:rsidRPr="00107C21">
        <w:rPr>
          <w:color w:val="000000"/>
          <w:sz w:val="20"/>
          <w:szCs w:val="20"/>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107C21" w:rsidRPr="00107C21" w:rsidRDefault="00107C21" w:rsidP="00107C21">
      <w:pPr>
        <w:jc w:val="both"/>
        <w:rPr>
          <w:sz w:val="20"/>
          <w:szCs w:val="20"/>
        </w:rPr>
      </w:pPr>
      <w:bookmarkStart w:id="8" w:name="z138"/>
      <w:bookmarkEnd w:id="7"/>
      <w:r w:rsidRPr="00107C21">
        <w:rPr>
          <w:color w:val="000000"/>
          <w:sz w:val="20"/>
          <w:szCs w:val="20"/>
        </w:rPr>
        <w:t>      6) срок годности лекарственных средств и медицинских изделий на дату поставки поставщиком заказчику составляет:</w:t>
      </w:r>
    </w:p>
    <w:p w:rsidR="00107C21" w:rsidRPr="00107C21" w:rsidRDefault="00107C21" w:rsidP="00107C21">
      <w:pPr>
        <w:jc w:val="both"/>
        <w:rPr>
          <w:sz w:val="20"/>
          <w:szCs w:val="20"/>
        </w:rPr>
      </w:pPr>
      <w:bookmarkStart w:id="9" w:name="z139"/>
      <w:bookmarkEnd w:id="8"/>
      <w:r w:rsidRPr="00107C21">
        <w:rPr>
          <w:color w:val="000000"/>
          <w:sz w:val="20"/>
          <w:szCs w:val="20"/>
        </w:rPr>
        <w:t>      не менее пятидесяти процентов от указанного срока годности на упаковке (при сроке годности менее двух лет);</w:t>
      </w:r>
    </w:p>
    <w:p w:rsidR="00107C21" w:rsidRPr="00107C21" w:rsidRDefault="00107C21" w:rsidP="00107C21">
      <w:pPr>
        <w:jc w:val="both"/>
        <w:rPr>
          <w:sz w:val="20"/>
          <w:szCs w:val="20"/>
        </w:rPr>
      </w:pPr>
      <w:bookmarkStart w:id="10" w:name="z140"/>
      <w:bookmarkEnd w:id="9"/>
      <w:r w:rsidRPr="00107C21">
        <w:rPr>
          <w:color w:val="000000"/>
          <w:sz w:val="20"/>
          <w:szCs w:val="20"/>
        </w:rPr>
        <w:t>      не менее двенадцати месяцев от указанного срока годности на упаковке (при сроке годности два года и более);</w:t>
      </w:r>
      <w:bookmarkStart w:id="11" w:name="z155"/>
      <w:bookmarkEnd w:id="10"/>
    </w:p>
    <w:p w:rsidR="00107C21" w:rsidRPr="00107C21" w:rsidRDefault="00107C21" w:rsidP="00107C21">
      <w:pPr>
        <w:ind w:firstLine="709"/>
        <w:jc w:val="both"/>
        <w:rPr>
          <w:sz w:val="20"/>
          <w:szCs w:val="20"/>
        </w:rPr>
      </w:pPr>
      <w:r w:rsidRPr="00107C21">
        <w:rPr>
          <w:color w:val="000000"/>
          <w:sz w:val="20"/>
          <w:szCs w:val="20"/>
        </w:rPr>
        <w:t>12. Условия, предусмотренные подпунктами 4), 5), 6) пункта 11 настоящих Правил, подтверждаются поставщиком при исполнении договора поставки или закупа.</w:t>
      </w:r>
    </w:p>
    <w:bookmarkEnd w:id="11"/>
    <w:p w:rsidR="00A02CBE" w:rsidRDefault="00A02CBE" w:rsidP="00A02CBE">
      <w:pPr>
        <w:rPr>
          <w:rFonts w:eastAsia="Calibri"/>
          <w:b/>
          <w:sz w:val="22"/>
          <w:szCs w:val="22"/>
          <w:lang w:eastAsia="en-US"/>
        </w:rPr>
      </w:pPr>
      <w:r w:rsidRPr="0093642A">
        <w:rPr>
          <w:rFonts w:eastAsia="Calibri"/>
          <w:b/>
          <w:sz w:val="22"/>
          <w:szCs w:val="22"/>
          <w:lang w:eastAsia="en-US"/>
        </w:rPr>
        <w:t xml:space="preserve">                               </w:t>
      </w:r>
    </w:p>
    <w:p w:rsidR="0056669A" w:rsidRPr="00CB59FB" w:rsidRDefault="00A02CBE" w:rsidP="0056669A">
      <w:pPr>
        <w:jc w:val="center"/>
        <w:rPr>
          <w:rFonts w:eastAsia="Calibri"/>
          <w:b/>
          <w:sz w:val="21"/>
          <w:szCs w:val="21"/>
          <w:lang w:eastAsia="en-US"/>
        </w:rPr>
      </w:pPr>
      <w:r w:rsidRPr="00030010">
        <w:rPr>
          <w:rFonts w:eastAsia="Calibri"/>
          <w:lang w:eastAsia="en-US"/>
        </w:rPr>
        <w:t xml:space="preserve">  </w:t>
      </w:r>
      <w:r w:rsidR="0056669A" w:rsidRPr="003C4E65">
        <w:rPr>
          <w:rFonts w:eastAsia="Calibri"/>
          <w:b/>
          <w:sz w:val="21"/>
          <w:szCs w:val="21"/>
          <w:lang w:eastAsia="en-US"/>
        </w:rPr>
        <w:t>Заведующая лабораторией</w:t>
      </w:r>
      <w:r w:rsidR="0056669A">
        <w:rPr>
          <w:rFonts w:eastAsia="Calibri"/>
          <w:b/>
          <w:sz w:val="21"/>
          <w:szCs w:val="21"/>
          <w:lang w:eastAsia="en-US"/>
        </w:rPr>
        <w:t>__________________________ Дигтяр Ю.Ю.</w:t>
      </w:r>
    </w:p>
    <w:p w:rsidR="009550E7" w:rsidRPr="00CB59FB" w:rsidRDefault="009550E7" w:rsidP="00CB59FB">
      <w:pPr>
        <w:jc w:val="center"/>
        <w:rPr>
          <w:rFonts w:eastAsia="Calibri"/>
          <w:b/>
          <w:sz w:val="21"/>
          <w:szCs w:val="21"/>
          <w:lang w:eastAsia="en-US"/>
        </w:rPr>
      </w:pPr>
    </w:p>
    <w:sectPr w:rsidR="009550E7" w:rsidRPr="00CB59FB" w:rsidSect="00C156EE">
      <w:pgSz w:w="16838" w:h="11906" w:orient="landscape"/>
      <w:pgMar w:top="284" w:right="536"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16418"/>
    <w:rsid w:val="000173D3"/>
    <w:rsid w:val="000246A4"/>
    <w:rsid w:val="00030010"/>
    <w:rsid w:val="0003105B"/>
    <w:rsid w:val="00034562"/>
    <w:rsid w:val="00037432"/>
    <w:rsid w:val="0005178F"/>
    <w:rsid w:val="0006503C"/>
    <w:rsid w:val="000776F5"/>
    <w:rsid w:val="00082FD5"/>
    <w:rsid w:val="00085B45"/>
    <w:rsid w:val="00094AE5"/>
    <w:rsid w:val="000960CC"/>
    <w:rsid w:val="000962BD"/>
    <w:rsid w:val="000A019E"/>
    <w:rsid w:val="000C2844"/>
    <w:rsid w:val="000C5D0E"/>
    <w:rsid w:val="000D2647"/>
    <w:rsid w:val="000E1FB7"/>
    <w:rsid w:val="00106634"/>
    <w:rsid w:val="00107C21"/>
    <w:rsid w:val="00124014"/>
    <w:rsid w:val="00134467"/>
    <w:rsid w:val="001344D4"/>
    <w:rsid w:val="00140341"/>
    <w:rsid w:val="0015205A"/>
    <w:rsid w:val="00154370"/>
    <w:rsid w:val="00165F3E"/>
    <w:rsid w:val="00166E55"/>
    <w:rsid w:val="00172316"/>
    <w:rsid w:val="001776F2"/>
    <w:rsid w:val="00193F30"/>
    <w:rsid w:val="001A1DE3"/>
    <w:rsid w:val="001B0F0B"/>
    <w:rsid w:val="001B2F90"/>
    <w:rsid w:val="001B4A60"/>
    <w:rsid w:val="001C1C16"/>
    <w:rsid w:val="001E0926"/>
    <w:rsid w:val="001E2D16"/>
    <w:rsid w:val="00201AF0"/>
    <w:rsid w:val="00211BB1"/>
    <w:rsid w:val="00212D47"/>
    <w:rsid w:val="00232D08"/>
    <w:rsid w:val="00242A84"/>
    <w:rsid w:val="002478E4"/>
    <w:rsid w:val="0026493A"/>
    <w:rsid w:val="00267A30"/>
    <w:rsid w:val="002847CB"/>
    <w:rsid w:val="0028617D"/>
    <w:rsid w:val="00291A4F"/>
    <w:rsid w:val="00293C74"/>
    <w:rsid w:val="002B7B39"/>
    <w:rsid w:val="002C62EC"/>
    <w:rsid w:val="002C7685"/>
    <w:rsid w:val="002D1ABE"/>
    <w:rsid w:val="002F7A67"/>
    <w:rsid w:val="00310E27"/>
    <w:rsid w:val="00310E5D"/>
    <w:rsid w:val="00317AAC"/>
    <w:rsid w:val="00322F99"/>
    <w:rsid w:val="00332E31"/>
    <w:rsid w:val="003507B2"/>
    <w:rsid w:val="00362622"/>
    <w:rsid w:val="00371E59"/>
    <w:rsid w:val="00372069"/>
    <w:rsid w:val="00377036"/>
    <w:rsid w:val="003C5878"/>
    <w:rsid w:val="003D3FD7"/>
    <w:rsid w:val="003D4FC9"/>
    <w:rsid w:val="003F6DC9"/>
    <w:rsid w:val="00405A8D"/>
    <w:rsid w:val="00405BB1"/>
    <w:rsid w:val="0041529B"/>
    <w:rsid w:val="00420301"/>
    <w:rsid w:val="00422CAD"/>
    <w:rsid w:val="00431B69"/>
    <w:rsid w:val="00437F80"/>
    <w:rsid w:val="00451884"/>
    <w:rsid w:val="004578C7"/>
    <w:rsid w:val="00476C30"/>
    <w:rsid w:val="00497A29"/>
    <w:rsid w:val="004C1F01"/>
    <w:rsid w:val="004C7A69"/>
    <w:rsid w:val="004D1D05"/>
    <w:rsid w:val="004D60C0"/>
    <w:rsid w:val="004D7D7F"/>
    <w:rsid w:val="004E4E6D"/>
    <w:rsid w:val="004F1A9F"/>
    <w:rsid w:val="004F2292"/>
    <w:rsid w:val="005256B7"/>
    <w:rsid w:val="005303B8"/>
    <w:rsid w:val="00530A7F"/>
    <w:rsid w:val="00535CE9"/>
    <w:rsid w:val="00537173"/>
    <w:rsid w:val="00545435"/>
    <w:rsid w:val="005577B4"/>
    <w:rsid w:val="00562834"/>
    <w:rsid w:val="00563893"/>
    <w:rsid w:val="005660B8"/>
    <w:rsid w:val="0056669A"/>
    <w:rsid w:val="00570BF5"/>
    <w:rsid w:val="005A20A0"/>
    <w:rsid w:val="005B5E34"/>
    <w:rsid w:val="005D7A2E"/>
    <w:rsid w:val="005E1644"/>
    <w:rsid w:val="005E5642"/>
    <w:rsid w:val="006222B6"/>
    <w:rsid w:val="00630BA1"/>
    <w:rsid w:val="00633515"/>
    <w:rsid w:val="00644771"/>
    <w:rsid w:val="00647A66"/>
    <w:rsid w:val="00651899"/>
    <w:rsid w:val="0065370A"/>
    <w:rsid w:val="00663257"/>
    <w:rsid w:val="00664D34"/>
    <w:rsid w:val="006744A6"/>
    <w:rsid w:val="00675DE3"/>
    <w:rsid w:val="006776CB"/>
    <w:rsid w:val="006915A1"/>
    <w:rsid w:val="006B764A"/>
    <w:rsid w:val="006C1A0D"/>
    <w:rsid w:val="006D448A"/>
    <w:rsid w:val="006D5872"/>
    <w:rsid w:val="006E2C16"/>
    <w:rsid w:val="006E501F"/>
    <w:rsid w:val="006E7ED4"/>
    <w:rsid w:val="007027FE"/>
    <w:rsid w:val="00712206"/>
    <w:rsid w:val="00715271"/>
    <w:rsid w:val="00735978"/>
    <w:rsid w:val="00745049"/>
    <w:rsid w:val="0077019D"/>
    <w:rsid w:val="00774C15"/>
    <w:rsid w:val="00780774"/>
    <w:rsid w:val="007915A6"/>
    <w:rsid w:val="007B672F"/>
    <w:rsid w:val="007C50DB"/>
    <w:rsid w:val="007D3939"/>
    <w:rsid w:val="007F08A1"/>
    <w:rsid w:val="007F569D"/>
    <w:rsid w:val="00805664"/>
    <w:rsid w:val="008266CA"/>
    <w:rsid w:val="0083184F"/>
    <w:rsid w:val="00836538"/>
    <w:rsid w:val="00841538"/>
    <w:rsid w:val="008629FC"/>
    <w:rsid w:val="008649A3"/>
    <w:rsid w:val="00884691"/>
    <w:rsid w:val="008869D0"/>
    <w:rsid w:val="008938A1"/>
    <w:rsid w:val="008B12FB"/>
    <w:rsid w:val="008C058C"/>
    <w:rsid w:val="008D7936"/>
    <w:rsid w:val="008E7454"/>
    <w:rsid w:val="008F1F88"/>
    <w:rsid w:val="008F61B5"/>
    <w:rsid w:val="0090430E"/>
    <w:rsid w:val="00912E2C"/>
    <w:rsid w:val="00912ED9"/>
    <w:rsid w:val="0092062A"/>
    <w:rsid w:val="00920711"/>
    <w:rsid w:val="009260FF"/>
    <w:rsid w:val="0093642A"/>
    <w:rsid w:val="009550E7"/>
    <w:rsid w:val="00960A8F"/>
    <w:rsid w:val="00993A3D"/>
    <w:rsid w:val="009B0E3A"/>
    <w:rsid w:val="009B2BB7"/>
    <w:rsid w:val="009B3E0F"/>
    <w:rsid w:val="009C65B7"/>
    <w:rsid w:val="009F20EF"/>
    <w:rsid w:val="009F3F21"/>
    <w:rsid w:val="009F5DD3"/>
    <w:rsid w:val="00A02CBE"/>
    <w:rsid w:val="00A14228"/>
    <w:rsid w:val="00A15440"/>
    <w:rsid w:val="00A37915"/>
    <w:rsid w:val="00A4221F"/>
    <w:rsid w:val="00A66787"/>
    <w:rsid w:val="00A669CA"/>
    <w:rsid w:val="00A824E1"/>
    <w:rsid w:val="00A91ADE"/>
    <w:rsid w:val="00A926FC"/>
    <w:rsid w:val="00A92C10"/>
    <w:rsid w:val="00A95AF6"/>
    <w:rsid w:val="00A973FE"/>
    <w:rsid w:val="00AC1F4B"/>
    <w:rsid w:val="00AC67E0"/>
    <w:rsid w:val="00AC7B75"/>
    <w:rsid w:val="00AF2361"/>
    <w:rsid w:val="00AF6F51"/>
    <w:rsid w:val="00B01C01"/>
    <w:rsid w:val="00B0507F"/>
    <w:rsid w:val="00B3272A"/>
    <w:rsid w:val="00B504AD"/>
    <w:rsid w:val="00B52E03"/>
    <w:rsid w:val="00B646F6"/>
    <w:rsid w:val="00B723EC"/>
    <w:rsid w:val="00B857E9"/>
    <w:rsid w:val="00B9269E"/>
    <w:rsid w:val="00B93B6E"/>
    <w:rsid w:val="00B968D6"/>
    <w:rsid w:val="00BA37BC"/>
    <w:rsid w:val="00BA4A4C"/>
    <w:rsid w:val="00BB1153"/>
    <w:rsid w:val="00BB514C"/>
    <w:rsid w:val="00BC0A95"/>
    <w:rsid w:val="00BC3C09"/>
    <w:rsid w:val="00BC4A5B"/>
    <w:rsid w:val="00BE3F10"/>
    <w:rsid w:val="00C00AF8"/>
    <w:rsid w:val="00C01E78"/>
    <w:rsid w:val="00C14FEE"/>
    <w:rsid w:val="00C156EE"/>
    <w:rsid w:val="00C22955"/>
    <w:rsid w:val="00C33F41"/>
    <w:rsid w:val="00C55C5D"/>
    <w:rsid w:val="00C81682"/>
    <w:rsid w:val="00C8794B"/>
    <w:rsid w:val="00CA55B8"/>
    <w:rsid w:val="00CB08CE"/>
    <w:rsid w:val="00CB1970"/>
    <w:rsid w:val="00CB59FB"/>
    <w:rsid w:val="00CB6919"/>
    <w:rsid w:val="00CD5E70"/>
    <w:rsid w:val="00CE24E0"/>
    <w:rsid w:val="00CE3DF4"/>
    <w:rsid w:val="00CE7B1F"/>
    <w:rsid w:val="00CF0304"/>
    <w:rsid w:val="00CF426A"/>
    <w:rsid w:val="00D00B11"/>
    <w:rsid w:val="00D14D92"/>
    <w:rsid w:val="00D244A8"/>
    <w:rsid w:val="00D27B58"/>
    <w:rsid w:val="00D34BD1"/>
    <w:rsid w:val="00D4021F"/>
    <w:rsid w:val="00D70D39"/>
    <w:rsid w:val="00D744DD"/>
    <w:rsid w:val="00D74EF7"/>
    <w:rsid w:val="00DA05E1"/>
    <w:rsid w:val="00DB1E7F"/>
    <w:rsid w:val="00DC7B66"/>
    <w:rsid w:val="00DD0164"/>
    <w:rsid w:val="00DD0AE5"/>
    <w:rsid w:val="00DD2500"/>
    <w:rsid w:val="00DE442D"/>
    <w:rsid w:val="00DE7F01"/>
    <w:rsid w:val="00DF4CF7"/>
    <w:rsid w:val="00E0029A"/>
    <w:rsid w:val="00E07531"/>
    <w:rsid w:val="00E1205B"/>
    <w:rsid w:val="00E20438"/>
    <w:rsid w:val="00E21063"/>
    <w:rsid w:val="00E26CB2"/>
    <w:rsid w:val="00E27731"/>
    <w:rsid w:val="00E40432"/>
    <w:rsid w:val="00E424E9"/>
    <w:rsid w:val="00E474EC"/>
    <w:rsid w:val="00E572A7"/>
    <w:rsid w:val="00E5739C"/>
    <w:rsid w:val="00E742CE"/>
    <w:rsid w:val="00E92A9F"/>
    <w:rsid w:val="00EA52E0"/>
    <w:rsid w:val="00EB14A6"/>
    <w:rsid w:val="00EB6A77"/>
    <w:rsid w:val="00EE0BB2"/>
    <w:rsid w:val="00EE2A92"/>
    <w:rsid w:val="00F13671"/>
    <w:rsid w:val="00F27BAB"/>
    <w:rsid w:val="00F30134"/>
    <w:rsid w:val="00F40DD6"/>
    <w:rsid w:val="00F47FE8"/>
    <w:rsid w:val="00F81DC9"/>
    <w:rsid w:val="00F87D37"/>
    <w:rsid w:val="00F96D84"/>
    <w:rsid w:val="00FD6036"/>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030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030010"/>
    <w:rPr>
      <w:rFonts w:ascii="Courier New" w:eastAsia="Times New Roman" w:hAnsi="Courier New" w:cs="Courier New"/>
      <w:sz w:val="20"/>
      <w:szCs w:val="20"/>
      <w:lang w:eastAsia="ru-RU"/>
    </w:rPr>
  </w:style>
  <w:style w:type="character" w:customStyle="1" w:styleId="y2iqfc">
    <w:name w:val="y2iqfc"/>
    <w:basedOn w:val="a0"/>
    <w:rsid w:val="000300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030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030010"/>
    <w:rPr>
      <w:rFonts w:ascii="Courier New" w:eastAsia="Times New Roman" w:hAnsi="Courier New" w:cs="Courier New"/>
      <w:sz w:val="20"/>
      <w:szCs w:val="20"/>
      <w:lang w:eastAsia="ru-RU"/>
    </w:rPr>
  </w:style>
  <w:style w:type="character" w:customStyle="1" w:styleId="y2iqfc">
    <w:name w:val="y2iqfc"/>
    <w:basedOn w:val="a0"/>
    <w:rsid w:val="00030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635070177">
      <w:bodyDiv w:val="1"/>
      <w:marLeft w:val="0"/>
      <w:marRight w:val="0"/>
      <w:marTop w:val="0"/>
      <w:marBottom w:val="0"/>
      <w:divBdr>
        <w:top w:val="none" w:sz="0" w:space="0" w:color="auto"/>
        <w:left w:val="none" w:sz="0" w:space="0" w:color="auto"/>
        <w:bottom w:val="none" w:sz="0" w:space="0" w:color="auto"/>
        <w:right w:val="none" w:sz="0" w:space="0" w:color="auto"/>
      </w:divBdr>
    </w:div>
    <w:div w:id="740563930">
      <w:bodyDiv w:val="1"/>
      <w:marLeft w:val="0"/>
      <w:marRight w:val="0"/>
      <w:marTop w:val="0"/>
      <w:marBottom w:val="0"/>
      <w:divBdr>
        <w:top w:val="none" w:sz="0" w:space="0" w:color="auto"/>
        <w:left w:val="none" w:sz="0" w:space="0" w:color="auto"/>
        <w:bottom w:val="none" w:sz="0" w:space="0" w:color="auto"/>
        <w:right w:val="none" w:sz="0" w:space="0" w:color="auto"/>
      </w:divBdr>
    </w:div>
    <w:div w:id="856381317">
      <w:bodyDiv w:val="1"/>
      <w:marLeft w:val="0"/>
      <w:marRight w:val="0"/>
      <w:marTop w:val="0"/>
      <w:marBottom w:val="0"/>
      <w:divBdr>
        <w:top w:val="none" w:sz="0" w:space="0" w:color="auto"/>
        <w:left w:val="none" w:sz="0" w:space="0" w:color="auto"/>
        <w:bottom w:val="none" w:sz="0" w:space="0" w:color="auto"/>
        <w:right w:val="none" w:sz="0" w:space="0" w:color="auto"/>
      </w:divBdr>
    </w:div>
    <w:div w:id="867986129">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935593484">
      <w:bodyDiv w:val="1"/>
      <w:marLeft w:val="0"/>
      <w:marRight w:val="0"/>
      <w:marTop w:val="0"/>
      <w:marBottom w:val="0"/>
      <w:divBdr>
        <w:top w:val="none" w:sz="0" w:space="0" w:color="auto"/>
        <w:left w:val="none" w:sz="0" w:space="0" w:color="auto"/>
        <w:bottom w:val="none" w:sz="0" w:space="0" w:color="auto"/>
        <w:right w:val="none" w:sz="0" w:space="0" w:color="auto"/>
      </w:divBdr>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42803308">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13837094">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55939176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1741252030">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F8070-2D40-4A4D-B310-13FCA8EE6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1395</Words>
  <Characters>7958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59</cp:revision>
  <cp:lastPrinted>2023-07-05T05:59:00Z</cp:lastPrinted>
  <dcterms:created xsi:type="dcterms:W3CDTF">2022-03-24T15:38:00Z</dcterms:created>
  <dcterms:modified xsi:type="dcterms:W3CDTF">2023-07-05T06:01:00Z</dcterms:modified>
</cp:coreProperties>
</file>