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8D2419">
        <w:rPr>
          <w:rFonts w:ascii="Times New Roman" w:hAnsi="Times New Roman" w:cs="Times New Roman"/>
          <w:b/>
          <w:sz w:val="20"/>
          <w:szCs w:val="20"/>
          <w:lang w:val="kk-KZ"/>
        </w:rPr>
        <w:t>3</w:t>
      </w:r>
      <w:r w:rsidR="00CF03AC">
        <w:rPr>
          <w:rFonts w:ascii="Times New Roman" w:hAnsi="Times New Roman" w:cs="Times New Roman"/>
          <w:b/>
          <w:sz w:val="20"/>
          <w:szCs w:val="20"/>
          <w:lang w:val="kk-KZ"/>
        </w:rPr>
        <w:t>6</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CF03AC">
        <w:rPr>
          <w:rFonts w:ascii="Times New Roman" w:hAnsi="Times New Roman" w:cs="Times New Roman"/>
          <w:b/>
          <w:sz w:val="20"/>
          <w:szCs w:val="20"/>
        </w:rPr>
        <w:t>13</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CF03AC">
        <w:rPr>
          <w:rFonts w:ascii="Times New Roman" w:hAnsi="Times New Roman" w:cs="Times New Roman"/>
          <w:b/>
          <w:sz w:val="20"/>
          <w:szCs w:val="20"/>
          <w:u w:val="single"/>
          <w:lang w:val="kk-KZ"/>
        </w:rPr>
        <w:t>14</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9E200C">
        <w:rPr>
          <w:rFonts w:ascii="Times New Roman" w:hAnsi="Times New Roman" w:cs="Times New Roman"/>
          <w:b/>
          <w:sz w:val="20"/>
          <w:szCs w:val="20"/>
          <w:u w:val="single"/>
          <w:lang w:val="kk-KZ"/>
        </w:rPr>
        <w:t>10</w:t>
      </w:r>
      <w:r w:rsidR="00C84D3C">
        <w:rPr>
          <w:rFonts w:ascii="Times New Roman" w:hAnsi="Times New Roman" w:cs="Times New Roman"/>
          <w:b/>
          <w:sz w:val="20"/>
          <w:szCs w:val="20"/>
          <w:u w:val="single"/>
        </w:rPr>
        <w:t xml:space="preserve"> </w:t>
      </w:r>
      <w:r>
        <w:rPr>
          <w:rFonts w:ascii="Times New Roman" w:hAnsi="Times New Roman" w:cs="Times New Roman"/>
          <w:b/>
          <w:sz w:val="20"/>
          <w:szCs w:val="20"/>
          <w:u w:val="single"/>
        </w:rPr>
        <w:t>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9E200C"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9E200C" w:rsidRDefault="004757E6"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 xml:space="preserve">№ </w:t>
            </w:r>
            <w:proofErr w:type="gramStart"/>
            <w:r w:rsidRPr="009E200C">
              <w:rPr>
                <w:rFonts w:ascii="Times New Roman" w:hAnsi="Times New Roman" w:cs="Times New Roman"/>
                <w:b/>
                <w:sz w:val="20"/>
                <w:szCs w:val="20"/>
              </w:rPr>
              <w:t>п</w:t>
            </w:r>
            <w:proofErr w:type="gramEnd"/>
            <w:r w:rsidRPr="009E200C">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proofErr w:type="spellStart"/>
            <w:r w:rsidRPr="009E200C">
              <w:rPr>
                <w:rFonts w:ascii="Times New Roman" w:hAnsi="Times New Roman" w:cs="Times New Roman"/>
                <w:b/>
                <w:sz w:val="20"/>
                <w:szCs w:val="20"/>
              </w:rPr>
              <w:t>Ед</w:t>
            </w:r>
            <w:proofErr w:type="gramStart"/>
            <w:r w:rsidRPr="009E200C">
              <w:rPr>
                <w:rFonts w:ascii="Times New Roman" w:hAnsi="Times New Roman" w:cs="Times New Roman"/>
                <w:b/>
                <w:sz w:val="20"/>
                <w:szCs w:val="20"/>
              </w:rPr>
              <w:t>.и</w:t>
            </w:r>
            <w:proofErr w:type="gramEnd"/>
            <w:r w:rsidRPr="009E200C">
              <w:rPr>
                <w:rFonts w:ascii="Times New Roman" w:hAnsi="Times New Roman" w:cs="Times New Roman"/>
                <w:b/>
                <w:sz w:val="20"/>
                <w:szCs w:val="20"/>
              </w:rPr>
              <w:t>зм</w:t>
            </w:r>
            <w:proofErr w:type="spellEnd"/>
            <w:r w:rsidRPr="009E200C">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Сумма (тенге)</w:t>
            </w:r>
          </w:p>
        </w:tc>
      </w:tr>
      <w:tr w:rsidR="009E200C" w:rsidRPr="009E200C" w:rsidTr="001D21B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sz w:val="20"/>
                <w:szCs w:val="20"/>
              </w:rPr>
            </w:pPr>
            <w:r w:rsidRPr="009E200C">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9E200C" w:rsidRPr="009E200C" w:rsidRDefault="009E200C" w:rsidP="009E200C">
            <w:pPr>
              <w:jc w:val="both"/>
              <w:rPr>
                <w:rFonts w:ascii="Times New Roman" w:hAnsi="Times New Roman" w:cs="Times New Roman"/>
                <w:color w:val="000000"/>
                <w:sz w:val="20"/>
                <w:szCs w:val="20"/>
              </w:rPr>
            </w:pPr>
            <w:r w:rsidRPr="009E200C">
              <w:rPr>
                <w:rFonts w:ascii="Times New Roman" w:hAnsi="Times New Roman" w:cs="Times New Roman"/>
                <w:color w:val="000000"/>
                <w:sz w:val="20"/>
                <w:szCs w:val="20"/>
              </w:rPr>
              <w:t xml:space="preserve">Фильтровальные </w:t>
            </w:r>
            <w:proofErr w:type="gramStart"/>
            <w:r w:rsidRPr="009E200C">
              <w:rPr>
                <w:rFonts w:ascii="Times New Roman" w:hAnsi="Times New Roman" w:cs="Times New Roman"/>
                <w:color w:val="000000"/>
                <w:sz w:val="20"/>
                <w:szCs w:val="20"/>
              </w:rPr>
              <w:t>тест-бланки</w:t>
            </w:r>
            <w:proofErr w:type="gramEnd"/>
            <w:r w:rsidRPr="009E200C">
              <w:rPr>
                <w:rFonts w:ascii="Times New Roman" w:hAnsi="Times New Roman" w:cs="Times New Roman"/>
                <w:color w:val="000000"/>
                <w:sz w:val="20"/>
                <w:szCs w:val="20"/>
              </w:rPr>
              <w:t xml:space="preserve"> для взятия крови новорождённых для скрининга на врождённый гипотиреоз</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штука</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200,00</w:t>
            </w:r>
          </w:p>
        </w:tc>
        <w:tc>
          <w:tcPr>
            <w:tcW w:w="1131"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650,00</w:t>
            </w:r>
          </w:p>
        </w:tc>
        <w:tc>
          <w:tcPr>
            <w:tcW w:w="1266"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130 000,00</w:t>
            </w:r>
          </w:p>
        </w:tc>
      </w:tr>
      <w:tr w:rsidR="009E200C" w:rsidRPr="009E200C"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b/>
                <w:sz w:val="20"/>
                <w:szCs w:val="20"/>
              </w:rPr>
            </w:pPr>
            <w:r w:rsidRPr="009E200C">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130 000</w:t>
            </w:r>
            <w:r w:rsidRPr="009E200C">
              <w:rPr>
                <w:rFonts w:ascii="Times New Roman" w:hAnsi="Times New Roman" w:cs="Times New Roman"/>
                <w:b/>
                <w:sz w:val="20"/>
                <w:szCs w:val="20"/>
                <w:lang w:val="kk-KZ"/>
              </w:rPr>
              <w:t>,00</w:t>
            </w:r>
          </w:p>
        </w:tc>
        <w:tc>
          <w:tcPr>
            <w:tcW w:w="1123" w:type="dxa"/>
          </w:tcPr>
          <w:p w:rsidR="009E200C" w:rsidRPr="009E200C" w:rsidRDefault="009E200C" w:rsidP="009E200C">
            <w:pPr>
              <w:spacing w:after="0" w:line="240" w:lineRule="auto"/>
              <w:rPr>
                <w:rFonts w:ascii="Times New Roman" w:hAnsi="Times New Roman" w:cs="Times New Roman"/>
                <w:sz w:val="20"/>
                <w:szCs w:val="20"/>
              </w:rPr>
            </w:pPr>
          </w:p>
        </w:tc>
        <w:tc>
          <w:tcPr>
            <w:tcW w:w="1123" w:type="dxa"/>
            <w:vAlign w:val="center"/>
          </w:tcPr>
          <w:p w:rsidR="009E200C" w:rsidRPr="009E200C" w:rsidRDefault="009E200C" w:rsidP="009E200C">
            <w:pPr>
              <w:spacing w:after="0" w:line="240" w:lineRule="auto"/>
              <w:rPr>
                <w:rFonts w:ascii="Times New Roman" w:hAnsi="Times New Roman" w:cs="Times New Roman"/>
                <w:sz w:val="20"/>
                <w:szCs w:val="20"/>
              </w:rPr>
            </w:pPr>
          </w:p>
        </w:tc>
        <w:tc>
          <w:tcPr>
            <w:tcW w:w="1123" w:type="dxa"/>
            <w:vAlign w:val="center"/>
          </w:tcPr>
          <w:p w:rsidR="009E200C" w:rsidRPr="009E200C" w:rsidRDefault="009E200C" w:rsidP="009E200C">
            <w:pPr>
              <w:spacing w:after="0" w:line="240" w:lineRule="auto"/>
              <w:rPr>
                <w:rFonts w:ascii="Times New Roman" w:hAnsi="Times New Roman" w:cs="Times New Roman"/>
                <w:sz w:val="20"/>
                <w:szCs w:val="20"/>
              </w:rPr>
            </w:pPr>
          </w:p>
        </w:tc>
        <w:tc>
          <w:tcPr>
            <w:tcW w:w="1136" w:type="dxa"/>
            <w:vAlign w:val="center"/>
          </w:tcPr>
          <w:p w:rsidR="009E200C" w:rsidRPr="009E200C" w:rsidRDefault="009E200C" w:rsidP="009E200C">
            <w:pPr>
              <w:spacing w:after="0" w:line="240" w:lineRule="auto"/>
              <w:rPr>
                <w:rFonts w:ascii="Times New Roman" w:hAnsi="Times New Roman" w:cs="Times New Roman"/>
                <w:sz w:val="20"/>
                <w:szCs w:val="20"/>
              </w:rPr>
            </w:pPr>
            <w:r w:rsidRPr="009E200C">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9E200C"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130 000</w:t>
      </w:r>
      <w:r w:rsidR="002A29ED">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сто тридцать тысяч</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2A29ED">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w:t>
      </w:r>
      <w:r w:rsidR="00CF03AC">
        <w:rPr>
          <w:rFonts w:ascii="Times New Roman" w:hAnsi="Times New Roman" w:cs="Times New Roman"/>
          <w:b/>
          <w:sz w:val="20"/>
          <w:szCs w:val="20"/>
          <w:lang w:val="kk-KZ"/>
        </w:rPr>
        <w:t>13</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CF03AC">
        <w:rPr>
          <w:rFonts w:ascii="Times New Roman" w:hAnsi="Times New Roman" w:cs="Times New Roman"/>
          <w:b/>
          <w:sz w:val="20"/>
          <w:szCs w:val="20"/>
          <w:lang w:val="kk-KZ"/>
        </w:rPr>
        <w:t>36</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CF03AC">
        <w:rPr>
          <w:rFonts w:ascii="Times New Roman" w:hAnsi="Times New Roman" w:cs="Times New Roman"/>
          <w:b/>
          <w:sz w:val="20"/>
          <w:szCs w:val="20"/>
          <w:u w:val="single"/>
          <w:lang w:val="kk-KZ"/>
        </w:rPr>
        <w:t>14</w:t>
      </w:r>
      <w:bookmarkStart w:id="0" w:name="_GoBack"/>
      <w:bookmarkEnd w:id="0"/>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9E200C">
        <w:rPr>
          <w:rFonts w:ascii="Times New Roman" w:hAnsi="Times New Roman" w:cs="Times New Roman"/>
          <w:b/>
          <w:sz w:val="20"/>
          <w:szCs w:val="20"/>
          <w:u w:val="single"/>
          <w:lang w:val="kk-KZ"/>
        </w:rPr>
        <w:t>10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9E200C" w:rsidRPr="00C26851" w:rsidTr="00782DFB">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9E200C" w:rsidRPr="00C26851" w:rsidRDefault="009E200C" w:rsidP="009E200C">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9E200C" w:rsidRPr="00E65682" w:rsidRDefault="009E200C" w:rsidP="009E200C">
            <w:pPr>
              <w:jc w:val="both"/>
              <w:rPr>
                <w:rFonts w:ascii="Times New Roman" w:hAnsi="Times New Roman" w:cs="Times New Roman"/>
                <w:color w:val="000000"/>
                <w:sz w:val="20"/>
                <w:szCs w:val="20"/>
              </w:rPr>
            </w:pPr>
            <w:proofErr w:type="spellStart"/>
            <w:r w:rsidRPr="009E200C">
              <w:rPr>
                <w:rFonts w:ascii="Times New Roman" w:hAnsi="Times New Roman" w:cs="Times New Roman"/>
                <w:color w:val="000000"/>
                <w:sz w:val="20"/>
                <w:szCs w:val="20"/>
              </w:rPr>
              <w:t>Туа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біткен</w:t>
            </w:r>
            <w:proofErr w:type="spellEnd"/>
            <w:r w:rsidRPr="009E200C">
              <w:rPr>
                <w:rFonts w:ascii="Times New Roman" w:hAnsi="Times New Roman" w:cs="Times New Roman"/>
                <w:color w:val="000000"/>
                <w:sz w:val="20"/>
                <w:szCs w:val="20"/>
              </w:rPr>
              <w:t xml:space="preserve"> </w:t>
            </w:r>
            <w:proofErr w:type="spellStart"/>
            <w:proofErr w:type="gramStart"/>
            <w:r w:rsidRPr="009E200C">
              <w:rPr>
                <w:rFonts w:ascii="Times New Roman" w:hAnsi="Times New Roman" w:cs="Times New Roman"/>
                <w:color w:val="000000"/>
                <w:sz w:val="20"/>
                <w:szCs w:val="20"/>
              </w:rPr>
              <w:t>гипотиреоз</w:t>
            </w:r>
            <w:proofErr w:type="gramEnd"/>
            <w:r w:rsidRPr="009E200C">
              <w:rPr>
                <w:rFonts w:ascii="Times New Roman" w:hAnsi="Times New Roman" w:cs="Times New Roman"/>
                <w:color w:val="000000"/>
                <w:sz w:val="20"/>
                <w:szCs w:val="20"/>
              </w:rPr>
              <w:t>ға</w:t>
            </w:r>
            <w:proofErr w:type="spellEnd"/>
            <w:r w:rsidRPr="009E200C">
              <w:rPr>
                <w:rFonts w:ascii="Times New Roman" w:hAnsi="Times New Roman" w:cs="Times New Roman"/>
                <w:color w:val="000000"/>
                <w:sz w:val="20"/>
                <w:szCs w:val="20"/>
              </w:rPr>
              <w:t xml:space="preserve"> скрининг </w:t>
            </w:r>
            <w:proofErr w:type="spellStart"/>
            <w:r w:rsidRPr="009E200C">
              <w:rPr>
                <w:rFonts w:ascii="Times New Roman" w:hAnsi="Times New Roman" w:cs="Times New Roman"/>
                <w:color w:val="000000"/>
                <w:sz w:val="20"/>
                <w:szCs w:val="20"/>
              </w:rPr>
              <w:t>жасау</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үшін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жаңа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туған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нәрестелердің</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қанын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алуға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арналған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сүзгі</w:t>
            </w:r>
            <w:proofErr w:type="spellEnd"/>
            <w:r w:rsidRPr="009E200C">
              <w:rPr>
                <w:rFonts w:ascii="Times New Roman" w:hAnsi="Times New Roman" w:cs="Times New Roman"/>
                <w:color w:val="000000"/>
                <w:sz w:val="20"/>
                <w:szCs w:val="20"/>
              </w:rPr>
              <w:t xml:space="preserve"> тест-</w:t>
            </w:r>
            <w:proofErr w:type="spellStart"/>
            <w:r w:rsidRPr="009E200C">
              <w:rPr>
                <w:rFonts w:ascii="Times New Roman" w:hAnsi="Times New Roman" w:cs="Times New Roman"/>
                <w:color w:val="000000"/>
                <w:sz w:val="20"/>
                <w:szCs w:val="20"/>
              </w:rPr>
              <w:t>бланкілері</w:t>
            </w:r>
            <w:proofErr w:type="spellEnd"/>
            <w:r w:rsidRPr="009E200C">
              <w:rPr>
                <w:rFonts w:ascii="Times New Roman" w:hAnsi="Times New Roman" w:cs="Times New Roman"/>
                <w:color w:val="000000"/>
                <w:sz w:val="20"/>
                <w:szCs w:val="20"/>
              </w:rPr>
              <w:t>.</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C84D3C" w:rsidRDefault="009E200C" w:rsidP="009E200C">
            <w:pPr>
              <w:jc w:val="center"/>
              <w:rPr>
                <w:rFonts w:ascii="Times New Roman" w:eastAsia="Times New Roman" w:hAnsi="Times New Roman" w:cs="Times New Roman"/>
                <w:color w:val="000000"/>
                <w:sz w:val="20"/>
                <w:szCs w:val="20"/>
                <w:lang w:eastAsia="en-US"/>
              </w:rPr>
            </w:pPr>
            <w:r>
              <w:rPr>
                <w:rFonts w:ascii="Times New Roman" w:hAnsi="Times New Roman" w:cs="Times New Roman"/>
                <w:color w:val="000000"/>
                <w:sz w:val="20"/>
                <w:szCs w:val="20"/>
              </w:rPr>
              <w:t>дана</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200,00</w:t>
            </w:r>
          </w:p>
        </w:tc>
        <w:tc>
          <w:tcPr>
            <w:tcW w:w="1510"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650,00</w:t>
            </w:r>
          </w:p>
        </w:tc>
        <w:tc>
          <w:tcPr>
            <w:tcW w:w="1528"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130 000,00</w:t>
            </w:r>
          </w:p>
        </w:tc>
      </w:tr>
      <w:tr w:rsidR="009E200C"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E200C" w:rsidRPr="00C26851" w:rsidRDefault="009E200C" w:rsidP="009E200C">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9E200C" w:rsidRPr="002A29ED" w:rsidRDefault="009E200C" w:rsidP="009E200C">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130 000,00</w:t>
            </w:r>
          </w:p>
        </w:tc>
        <w:tc>
          <w:tcPr>
            <w:tcW w:w="1429" w:type="dxa"/>
            <w:vAlign w:val="center"/>
          </w:tcPr>
          <w:p w:rsidR="009E200C" w:rsidRPr="00C26851" w:rsidRDefault="009E200C" w:rsidP="009E200C">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9E200C" w:rsidRPr="00C26851" w:rsidRDefault="009E200C" w:rsidP="009E200C">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9E200C" w:rsidRPr="00C26851" w:rsidRDefault="009E200C" w:rsidP="009E200C">
            <w:pPr>
              <w:spacing w:after="0" w:line="240" w:lineRule="auto"/>
              <w:jc w:val="center"/>
              <w:rPr>
                <w:rFonts w:ascii="Times New Roman" w:hAnsi="Times New Roman" w:cs="Times New Roman"/>
                <w:b/>
                <w:sz w:val="20"/>
                <w:szCs w:val="20"/>
              </w:rPr>
            </w:pPr>
          </w:p>
        </w:tc>
        <w:tc>
          <w:tcPr>
            <w:tcW w:w="1646" w:type="dxa"/>
            <w:vAlign w:val="center"/>
          </w:tcPr>
          <w:p w:rsidR="009E200C" w:rsidRPr="00C26851" w:rsidRDefault="009E200C" w:rsidP="009E200C">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9E200C" w:rsidRPr="009E200C" w:rsidRDefault="009E200C" w:rsidP="009E200C">
      <w:pPr>
        <w:pStyle w:val="a3"/>
        <w:spacing w:after="0" w:line="240" w:lineRule="auto"/>
        <w:jc w:val="center"/>
        <w:rPr>
          <w:rFonts w:ascii="Times New Roman" w:hAnsi="Times New Roman" w:cs="Times New Roman"/>
        </w:rPr>
      </w:pPr>
      <w:r w:rsidRPr="009E200C">
        <w:rPr>
          <w:rFonts w:ascii="Times New Roman" w:hAnsi="Times New Roman" w:cs="Times New Roman"/>
          <w:sz w:val="20"/>
          <w:szCs w:val="20"/>
          <w:u w:val="single"/>
          <w:lang w:val="kk-KZ"/>
        </w:rPr>
        <w:t>130 000,00 (жүз отыз мың)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007B1586">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375" w:rsidRDefault="00356375" w:rsidP="00094E6B">
      <w:pPr>
        <w:spacing w:after="0" w:line="240" w:lineRule="auto"/>
      </w:pPr>
      <w:r>
        <w:separator/>
      </w:r>
    </w:p>
  </w:endnote>
  <w:endnote w:type="continuationSeparator" w:id="0">
    <w:p w:rsidR="00356375" w:rsidRDefault="00356375"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375" w:rsidRDefault="00356375" w:rsidP="00094E6B">
      <w:pPr>
        <w:spacing w:after="0" w:line="240" w:lineRule="auto"/>
      </w:pPr>
      <w:r>
        <w:separator/>
      </w:r>
    </w:p>
  </w:footnote>
  <w:footnote w:type="continuationSeparator" w:id="0">
    <w:p w:rsidR="00356375" w:rsidRDefault="00356375"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27DBF"/>
    <w:rsid w:val="00237581"/>
    <w:rsid w:val="002413B6"/>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6375"/>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B1E5D"/>
    <w:rsid w:val="006B4AB3"/>
    <w:rsid w:val="006B6B74"/>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586"/>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2419"/>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200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3D4"/>
    <w:rsid w:val="00A64BE4"/>
    <w:rsid w:val="00A65B16"/>
    <w:rsid w:val="00A7127B"/>
    <w:rsid w:val="00A75183"/>
    <w:rsid w:val="00A77147"/>
    <w:rsid w:val="00AA016E"/>
    <w:rsid w:val="00AA2559"/>
    <w:rsid w:val="00AA311A"/>
    <w:rsid w:val="00AA4991"/>
    <w:rsid w:val="00AB54F7"/>
    <w:rsid w:val="00AC0D79"/>
    <w:rsid w:val="00AC11F8"/>
    <w:rsid w:val="00AC1B3C"/>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84D3C"/>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03AC"/>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3D4A"/>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9224293">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934384-783D-4C5B-B048-66F21FDD5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875</Words>
  <Characters>4988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12</cp:revision>
  <cp:lastPrinted>2022-10-06T04:55:00Z</cp:lastPrinted>
  <dcterms:created xsi:type="dcterms:W3CDTF">2023-04-04T08:06:00Z</dcterms:created>
  <dcterms:modified xsi:type="dcterms:W3CDTF">2023-04-14T06:04:00Z</dcterms:modified>
</cp:coreProperties>
</file>